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48" w:rsidRDefault="001A3748" w:rsidP="00C22F90">
      <w:bookmarkStart w:id="0" w:name="_GoBack"/>
      <w:bookmarkEnd w:id="0"/>
    </w:p>
    <w:p w:rsidR="007F3CFA" w:rsidRDefault="007F3CFA" w:rsidP="00C22F90"/>
    <w:p w:rsidR="001A3748" w:rsidRPr="001A3748" w:rsidRDefault="001A3748" w:rsidP="001A3748"/>
    <w:tbl>
      <w:tblPr>
        <w:tblStyle w:val="TableGrid"/>
        <w:tblW w:w="9889" w:type="dxa"/>
        <w:tblLook w:val="04A0" w:firstRow="1" w:lastRow="0" w:firstColumn="1" w:lastColumn="0" w:noHBand="0" w:noVBand="1"/>
      </w:tblPr>
      <w:tblGrid>
        <w:gridCol w:w="2405"/>
        <w:gridCol w:w="2806"/>
        <w:gridCol w:w="1985"/>
        <w:gridCol w:w="2693"/>
      </w:tblGrid>
      <w:tr w:rsidR="007F3CFA" w:rsidRPr="003045EC" w:rsidTr="00A410D8">
        <w:tc>
          <w:tcPr>
            <w:tcW w:w="9889" w:type="dxa"/>
            <w:gridSpan w:val="4"/>
            <w:shd w:val="clear" w:color="auto" w:fill="D9D9D9" w:themeFill="background1" w:themeFillShade="D9"/>
          </w:tcPr>
          <w:p w:rsidR="007F3CFA" w:rsidRPr="003045EC" w:rsidRDefault="007F3CFA" w:rsidP="00A410D8">
            <w:pPr>
              <w:spacing w:before="120" w:after="120"/>
              <w:jc w:val="center"/>
              <w:rPr>
                <w:szCs w:val="22"/>
              </w:rPr>
            </w:pPr>
            <w:r w:rsidRPr="003045EC">
              <w:rPr>
                <w:b/>
                <w:szCs w:val="22"/>
              </w:rPr>
              <w:t>Document Details</w:t>
            </w:r>
          </w:p>
        </w:tc>
      </w:tr>
      <w:tr w:rsidR="007F3CFA" w:rsidRPr="003045EC" w:rsidTr="007F3CFA">
        <w:tc>
          <w:tcPr>
            <w:tcW w:w="2405" w:type="dxa"/>
            <w:shd w:val="clear" w:color="auto" w:fill="F2F2F2" w:themeFill="background1" w:themeFillShade="F2"/>
          </w:tcPr>
          <w:p w:rsidR="007F3CFA" w:rsidRPr="003045EC" w:rsidRDefault="007F3CFA" w:rsidP="00A410D8">
            <w:pPr>
              <w:spacing w:before="120" w:after="120"/>
              <w:rPr>
                <w:b/>
                <w:szCs w:val="22"/>
              </w:rPr>
            </w:pPr>
            <w:r w:rsidRPr="003045EC">
              <w:rPr>
                <w:b/>
                <w:szCs w:val="22"/>
              </w:rPr>
              <w:t>Subject</w:t>
            </w:r>
          </w:p>
        </w:tc>
        <w:tc>
          <w:tcPr>
            <w:tcW w:w="7484" w:type="dxa"/>
            <w:gridSpan w:val="3"/>
          </w:tcPr>
          <w:p w:rsidR="007F3CFA" w:rsidRPr="00A410D8" w:rsidRDefault="00A410D8" w:rsidP="00A410D8">
            <w:pPr>
              <w:spacing w:before="120" w:after="120"/>
              <w:rPr>
                <w:b/>
                <w:szCs w:val="22"/>
              </w:rPr>
            </w:pPr>
            <w:r w:rsidRPr="00A410D8">
              <w:rPr>
                <w:b/>
                <w:szCs w:val="22"/>
              </w:rPr>
              <w:t xml:space="preserve">Process for Registration Orders under Division 2A of Part IV of the </w:t>
            </w:r>
            <w:r w:rsidRPr="00A410D8">
              <w:rPr>
                <w:b/>
                <w:i/>
                <w:szCs w:val="22"/>
              </w:rPr>
              <w:t>Status of Children Act 1974</w:t>
            </w:r>
          </w:p>
        </w:tc>
      </w:tr>
      <w:tr w:rsidR="007F3CFA" w:rsidRPr="003045EC" w:rsidTr="007F3CFA">
        <w:tc>
          <w:tcPr>
            <w:tcW w:w="2405" w:type="dxa"/>
            <w:shd w:val="clear" w:color="auto" w:fill="F2F2F2" w:themeFill="background1" w:themeFillShade="F2"/>
          </w:tcPr>
          <w:p w:rsidR="007F3CFA" w:rsidRPr="003045EC" w:rsidRDefault="007F3CFA" w:rsidP="00A410D8">
            <w:pPr>
              <w:spacing w:before="120" w:after="120"/>
              <w:rPr>
                <w:b/>
                <w:szCs w:val="22"/>
              </w:rPr>
            </w:pPr>
            <w:r>
              <w:rPr>
                <w:b/>
                <w:szCs w:val="22"/>
              </w:rPr>
              <w:t>Date Created</w:t>
            </w:r>
          </w:p>
        </w:tc>
        <w:tc>
          <w:tcPr>
            <w:tcW w:w="2806" w:type="dxa"/>
          </w:tcPr>
          <w:p w:rsidR="007F3CFA" w:rsidRPr="003045EC" w:rsidRDefault="0090715E" w:rsidP="00A410D8">
            <w:pPr>
              <w:spacing w:before="120" w:after="120"/>
              <w:rPr>
                <w:szCs w:val="22"/>
              </w:rPr>
            </w:pPr>
            <w:r>
              <w:rPr>
                <w:szCs w:val="22"/>
              </w:rPr>
              <w:t xml:space="preserve">December </w:t>
            </w:r>
            <w:r w:rsidR="00A410D8">
              <w:rPr>
                <w:szCs w:val="22"/>
              </w:rPr>
              <w:t>2014</w:t>
            </w:r>
          </w:p>
        </w:tc>
        <w:tc>
          <w:tcPr>
            <w:tcW w:w="1985" w:type="dxa"/>
            <w:shd w:val="clear" w:color="auto" w:fill="F2F2F2" w:themeFill="background1" w:themeFillShade="F2"/>
          </w:tcPr>
          <w:p w:rsidR="007F3CFA" w:rsidRPr="003045EC" w:rsidRDefault="007F3CFA" w:rsidP="00A410D8">
            <w:pPr>
              <w:spacing w:before="120" w:after="120"/>
              <w:rPr>
                <w:b/>
                <w:szCs w:val="22"/>
              </w:rPr>
            </w:pPr>
            <w:r w:rsidRPr="003045EC">
              <w:rPr>
                <w:b/>
                <w:szCs w:val="22"/>
              </w:rPr>
              <w:t>Last Updated</w:t>
            </w:r>
          </w:p>
        </w:tc>
        <w:tc>
          <w:tcPr>
            <w:tcW w:w="2693" w:type="dxa"/>
          </w:tcPr>
          <w:p w:rsidR="007F3CFA" w:rsidRPr="003045EC" w:rsidRDefault="0090715E" w:rsidP="00A410D8">
            <w:pPr>
              <w:spacing w:before="120" w:after="120"/>
              <w:rPr>
                <w:szCs w:val="22"/>
              </w:rPr>
            </w:pPr>
            <w:r>
              <w:rPr>
                <w:szCs w:val="22"/>
              </w:rPr>
              <w:t xml:space="preserve">December </w:t>
            </w:r>
            <w:r w:rsidR="00A410D8">
              <w:rPr>
                <w:szCs w:val="22"/>
              </w:rPr>
              <w:t>2014</w:t>
            </w:r>
          </w:p>
        </w:tc>
      </w:tr>
      <w:tr w:rsidR="007F3CFA" w:rsidRPr="003045EC" w:rsidTr="007F3CFA">
        <w:tc>
          <w:tcPr>
            <w:tcW w:w="2405" w:type="dxa"/>
            <w:shd w:val="clear" w:color="auto" w:fill="F2F2F2" w:themeFill="background1" w:themeFillShade="F2"/>
          </w:tcPr>
          <w:p w:rsidR="007F3CFA" w:rsidRPr="003045EC" w:rsidRDefault="007F3CFA" w:rsidP="00A410D8">
            <w:pPr>
              <w:spacing w:before="120" w:after="120"/>
              <w:rPr>
                <w:b/>
                <w:szCs w:val="22"/>
              </w:rPr>
            </w:pPr>
            <w:r w:rsidRPr="003045EC">
              <w:rPr>
                <w:b/>
                <w:szCs w:val="22"/>
              </w:rPr>
              <w:t>Authorised By</w:t>
            </w:r>
          </w:p>
        </w:tc>
        <w:tc>
          <w:tcPr>
            <w:tcW w:w="7484" w:type="dxa"/>
            <w:gridSpan w:val="3"/>
          </w:tcPr>
          <w:p w:rsidR="007F3CFA" w:rsidRPr="003045EC" w:rsidRDefault="00A410D8" w:rsidP="00A410D8">
            <w:pPr>
              <w:spacing w:before="120" w:after="120"/>
              <w:rPr>
                <w:szCs w:val="22"/>
              </w:rPr>
            </w:pPr>
            <w:r>
              <w:rPr>
                <w:szCs w:val="22"/>
              </w:rPr>
              <w:t xml:space="preserve">Judge </w:t>
            </w:r>
            <w:proofErr w:type="spellStart"/>
            <w:r>
              <w:rPr>
                <w:szCs w:val="22"/>
              </w:rPr>
              <w:t>Hampel</w:t>
            </w:r>
            <w:proofErr w:type="spellEnd"/>
            <w:r>
              <w:rPr>
                <w:szCs w:val="22"/>
              </w:rPr>
              <w:t>, Judge in Charge of Substitute and Parentage Orders List</w:t>
            </w:r>
          </w:p>
        </w:tc>
      </w:tr>
    </w:tbl>
    <w:p w:rsidR="007F3CFA" w:rsidRDefault="007F3CFA" w:rsidP="007F3CFA"/>
    <w:p w:rsidR="007F3CFA" w:rsidRPr="00E56B30" w:rsidRDefault="00A410D8" w:rsidP="007F3CFA">
      <w:pPr>
        <w:pStyle w:val="Heading"/>
        <w:shd w:val="clear" w:color="auto" w:fill="D9D9D9" w:themeFill="background1" w:themeFillShade="D9"/>
        <w:rPr>
          <w:szCs w:val="22"/>
        </w:rPr>
      </w:pPr>
      <w:r>
        <w:rPr>
          <w:szCs w:val="22"/>
        </w:rPr>
        <w:t>Background</w:t>
      </w:r>
    </w:p>
    <w:p w:rsidR="00681A7F" w:rsidRPr="000062FB" w:rsidRDefault="00681A7F" w:rsidP="00681A7F">
      <w:pPr>
        <w:pStyle w:val="NumberedParagraph"/>
      </w:pPr>
      <w:r w:rsidRPr="00CE022A">
        <w:t>The</w:t>
      </w:r>
      <w:r>
        <w:t xml:space="preserve"> </w:t>
      </w:r>
      <w:r w:rsidRPr="00AC0135">
        <w:rPr>
          <w:i/>
        </w:rPr>
        <w:t>Justice Legislation Amendment (Succession and Surrogacy) Act 2014</w:t>
      </w:r>
      <w:r w:rsidRPr="000062FB">
        <w:t xml:space="preserve"> </w:t>
      </w:r>
      <w:r>
        <w:t>amended the</w:t>
      </w:r>
      <w:r w:rsidRPr="00CE022A">
        <w:t xml:space="preserve"> </w:t>
      </w:r>
      <w:r w:rsidRPr="00145845">
        <w:rPr>
          <w:i/>
        </w:rPr>
        <w:t>Status of Children Act 1974</w:t>
      </w:r>
      <w:r w:rsidRPr="000062FB">
        <w:t xml:space="preserve"> (‘the Act’) to recognise commissioning parents of a child born in Victoria for the purposes of birth registration where the child is conceived in another state or territory and a corresponding surrogacy parentage order has been obtained from the other state or territory</w:t>
      </w:r>
      <w:r>
        <w:t>.</w:t>
      </w:r>
    </w:p>
    <w:p w:rsidR="007F3CFA" w:rsidRPr="00E56B30" w:rsidRDefault="00F241E1" w:rsidP="007F3CFA">
      <w:pPr>
        <w:pStyle w:val="Heading"/>
        <w:shd w:val="clear" w:color="auto" w:fill="D9D9D9" w:themeFill="background1" w:themeFillShade="D9"/>
        <w:rPr>
          <w:szCs w:val="22"/>
        </w:rPr>
      </w:pPr>
      <w:r>
        <w:rPr>
          <w:szCs w:val="22"/>
        </w:rPr>
        <w:t>Process</w:t>
      </w:r>
    </w:p>
    <w:p w:rsidR="007F3CFA" w:rsidRPr="00E56B30" w:rsidRDefault="007F3CFA" w:rsidP="007F3CFA">
      <w:pPr>
        <w:pStyle w:val="ListParagraph"/>
        <w:numPr>
          <w:ilvl w:val="0"/>
          <w:numId w:val="16"/>
        </w:numPr>
        <w:spacing w:after="120"/>
        <w:contextualSpacing w:val="0"/>
        <w:rPr>
          <w:vanish/>
          <w:szCs w:val="22"/>
        </w:rPr>
      </w:pPr>
    </w:p>
    <w:p w:rsidR="00F241E1" w:rsidRDefault="00A410D8" w:rsidP="00F241E1">
      <w:pPr>
        <w:pStyle w:val="ListParagraph"/>
        <w:numPr>
          <w:ilvl w:val="0"/>
          <w:numId w:val="16"/>
        </w:numPr>
        <w:autoSpaceDE w:val="0"/>
        <w:autoSpaceDN w:val="0"/>
        <w:adjustRightInd w:val="0"/>
        <w:spacing w:after="120" w:line="276" w:lineRule="auto"/>
        <w:contextualSpacing w:val="0"/>
        <w:rPr>
          <w:rFonts w:cs="Arial"/>
          <w:szCs w:val="22"/>
        </w:rPr>
      </w:pPr>
      <w:r w:rsidRPr="00F241E1">
        <w:rPr>
          <w:rFonts w:cs="Arial"/>
          <w:szCs w:val="22"/>
        </w:rPr>
        <w:t>In order to make an application for a registration order in the County Court, the applicant must file an Application for a Registration Order (application form to be found on County Court website).</w:t>
      </w:r>
    </w:p>
    <w:p w:rsidR="00A410D8" w:rsidRPr="00F241E1" w:rsidRDefault="00A410D8" w:rsidP="00F241E1">
      <w:pPr>
        <w:pStyle w:val="ListParagraph"/>
        <w:numPr>
          <w:ilvl w:val="0"/>
          <w:numId w:val="16"/>
        </w:numPr>
        <w:autoSpaceDE w:val="0"/>
        <w:autoSpaceDN w:val="0"/>
        <w:adjustRightInd w:val="0"/>
        <w:spacing w:after="120" w:line="276" w:lineRule="auto"/>
        <w:contextualSpacing w:val="0"/>
        <w:rPr>
          <w:rFonts w:cs="Arial"/>
          <w:szCs w:val="22"/>
        </w:rPr>
      </w:pPr>
      <w:r w:rsidRPr="00F241E1">
        <w:rPr>
          <w:rFonts w:cs="Arial"/>
          <w:szCs w:val="22"/>
        </w:rPr>
        <w:t>The application must include the following:</w:t>
      </w:r>
    </w:p>
    <w:p w:rsidR="00A410D8" w:rsidRDefault="00A410D8" w:rsidP="00F241E1">
      <w:pPr>
        <w:pStyle w:val="ListParagraph"/>
        <w:numPr>
          <w:ilvl w:val="1"/>
          <w:numId w:val="27"/>
        </w:numPr>
        <w:autoSpaceDE w:val="0"/>
        <w:autoSpaceDN w:val="0"/>
        <w:adjustRightInd w:val="0"/>
        <w:spacing w:line="276" w:lineRule="auto"/>
        <w:ind w:left="1080"/>
        <w:rPr>
          <w:rFonts w:eastAsia="Calibri"/>
          <w:szCs w:val="22"/>
        </w:rPr>
      </w:pPr>
      <w:r>
        <w:rPr>
          <w:rFonts w:eastAsia="Calibri"/>
          <w:szCs w:val="22"/>
        </w:rPr>
        <w:t xml:space="preserve">evidence that </w:t>
      </w:r>
      <w:r w:rsidRPr="0017661D">
        <w:rPr>
          <w:rFonts w:eastAsia="Calibri"/>
          <w:szCs w:val="22"/>
        </w:rPr>
        <w:t>the child wa</w:t>
      </w:r>
      <w:r>
        <w:rPr>
          <w:rFonts w:eastAsia="Calibri"/>
          <w:szCs w:val="22"/>
        </w:rPr>
        <w:t>s conceived under the surrogacy</w:t>
      </w:r>
    </w:p>
    <w:p w:rsidR="00A410D8" w:rsidRDefault="00A410D8" w:rsidP="00F241E1">
      <w:pPr>
        <w:pStyle w:val="ListParagraph"/>
        <w:autoSpaceDE w:val="0"/>
        <w:autoSpaceDN w:val="0"/>
        <w:adjustRightInd w:val="0"/>
        <w:spacing w:line="276" w:lineRule="auto"/>
        <w:ind w:left="1080"/>
        <w:rPr>
          <w:rFonts w:eastAsia="Calibri"/>
          <w:szCs w:val="22"/>
        </w:rPr>
      </w:pPr>
      <w:proofErr w:type="gramStart"/>
      <w:r w:rsidRPr="0017661D">
        <w:rPr>
          <w:rFonts w:eastAsia="Calibri"/>
          <w:szCs w:val="22"/>
        </w:rPr>
        <w:t>arrangement</w:t>
      </w:r>
      <w:proofErr w:type="gramEnd"/>
      <w:r w:rsidRPr="0017661D">
        <w:rPr>
          <w:rFonts w:eastAsia="Calibri"/>
          <w:szCs w:val="22"/>
        </w:rPr>
        <w:t xml:space="preserve"> in another Australian State or Territory</w:t>
      </w:r>
      <w:r>
        <w:rPr>
          <w:rFonts w:eastAsia="Calibri"/>
          <w:szCs w:val="22"/>
        </w:rPr>
        <w:t>;</w:t>
      </w:r>
    </w:p>
    <w:p w:rsidR="00A410D8" w:rsidRDefault="00A410D8" w:rsidP="00F241E1">
      <w:pPr>
        <w:pStyle w:val="ListParagraph"/>
        <w:numPr>
          <w:ilvl w:val="1"/>
          <w:numId w:val="27"/>
        </w:numPr>
        <w:autoSpaceDE w:val="0"/>
        <w:autoSpaceDN w:val="0"/>
        <w:adjustRightInd w:val="0"/>
        <w:spacing w:line="276" w:lineRule="auto"/>
        <w:ind w:left="1080"/>
        <w:rPr>
          <w:rFonts w:eastAsia="Calibri"/>
          <w:szCs w:val="22"/>
        </w:rPr>
      </w:pPr>
      <w:r>
        <w:rPr>
          <w:rFonts w:eastAsia="Calibri"/>
          <w:szCs w:val="22"/>
        </w:rPr>
        <w:t>a</w:t>
      </w:r>
      <w:r w:rsidRPr="0017661D">
        <w:rPr>
          <w:rFonts w:eastAsia="Calibri"/>
          <w:szCs w:val="22"/>
        </w:rPr>
        <w:t xml:space="preserve"> certified copy of the child’s birth certificate</w:t>
      </w:r>
      <w:r>
        <w:rPr>
          <w:rFonts w:eastAsia="Calibri"/>
          <w:szCs w:val="22"/>
        </w:rPr>
        <w:t>;</w:t>
      </w:r>
    </w:p>
    <w:p w:rsidR="00A410D8" w:rsidRDefault="00A410D8" w:rsidP="00F241E1">
      <w:pPr>
        <w:pStyle w:val="ListParagraph"/>
        <w:numPr>
          <w:ilvl w:val="1"/>
          <w:numId w:val="27"/>
        </w:numPr>
        <w:autoSpaceDE w:val="0"/>
        <w:autoSpaceDN w:val="0"/>
        <w:adjustRightInd w:val="0"/>
        <w:spacing w:line="276" w:lineRule="auto"/>
        <w:ind w:left="1080"/>
        <w:rPr>
          <w:rFonts w:eastAsia="Calibri"/>
          <w:szCs w:val="22"/>
        </w:rPr>
      </w:pPr>
      <w:r>
        <w:rPr>
          <w:rFonts w:eastAsia="Calibri"/>
          <w:szCs w:val="22"/>
        </w:rPr>
        <w:t xml:space="preserve">a </w:t>
      </w:r>
      <w:r w:rsidRPr="0017661D">
        <w:rPr>
          <w:rFonts w:eastAsia="Calibri"/>
          <w:szCs w:val="22"/>
        </w:rPr>
        <w:t>copy of the sealed correspon</w:t>
      </w:r>
      <w:r>
        <w:rPr>
          <w:rFonts w:eastAsia="Calibri"/>
          <w:szCs w:val="22"/>
        </w:rPr>
        <w:t>ding surrogacy parentage order; and</w:t>
      </w:r>
    </w:p>
    <w:p w:rsidR="00A410D8" w:rsidRPr="000062FB" w:rsidRDefault="00A410D8" w:rsidP="00F241E1">
      <w:pPr>
        <w:pStyle w:val="ListParagraph"/>
        <w:numPr>
          <w:ilvl w:val="1"/>
          <w:numId w:val="27"/>
        </w:numPr>
        <w:autoSpaceDE w:val="0"/>
        <w:autoSpaceDN w:val="0"/>
        <w:adjustRightInd w:val="0"/>
        <w:spacing w:line="276" w:lineRule="auto"/>
        <w:ind w:left="1080"/>
        <w:rPr>
          <w:rFonts w:eastAsia="Calibri"/>
          <w:szCs w:val="22"/>
        </w:rPr>
      </w:pPr>
      <w:proofErr w:type="gramStart"/>
      <w:r>
        <w:rPr>
          <w:rFonts w:cs="Arial"/>
          <w:szCs w:val="22"/>
        </w:rPr>
        <w:t>a</w:t>
      </w:r>
      <w:r w:rsidRPr="004532B5">
        <w:rPr>
          <w:rFonts w:cs="Arial"/>
          <w:szCs w:val="22"/>
        </w:rPr>
        <w:t>n</w:t>
      </w:r>
      <w:proofErr w:type="gramEnd"/>
      <w:r w:rsidRPr="004532B5">
        <w:rPr>
          <w:rFonts w:cs="Arial"/>
          <w:szCs w:val="22"/>
        </w:rPr>
        <w:t xml:space="preserve"> affidavit</w:t>
      </w:r>
      <w:r>
        <w:rPr>
          <w:rFonts w:cs="Arial"/>
          <w:szCs w:val="22"/>
        </w:rPr>
        <w:t xml:space="preserve"> from the applicant</w:t>
      </w:r>
      <w:r w:rsidRPr="004532B5">
        <w:rPr>
          <w:rFonts w:cs="Arial"/>
          <w:szCs w:val="22"/>
        </w:rPr>
        <w:t>(s)</w:t>
      </w:r>
      <w:r>
        <w:rPr>
          <w:rFonts w:cs="Arial"/>
          <w:szCs w:val="22"/>
        </w:rPr>
        <w:t xml:space="preserve"> and any other relevant witnesses addressing </w:t>
      </w:r>
      <w:r w:rsidRPr="004532B5">
        <w:rPr>
          <w:rFonts w:cs="Arial"/>
          <w:szCs w:val="22"/>
        </w:rPr>
        <w:t xml:space="preserve">the matters </w:t>
      </w:r>
      <w:r>
        <w:rPr>
          <w:rFonts w:cs="Arial"/>
          <w:szCs w:val="22"/>
        </w:rPr>
        <w:t>set out in</w:t>
      </w:r>
      <w:r w:rsidRPr="004532B5">
        <w:rPr>
          <w:rFonts w:cs="Arial"/>
          <w:szCs w:val="22"/>
        </w:rPr>
        <w:t xml:space="preserve"> s 29E(1)&amp;(2) of the Act</w:t>
      </w:r>
      <w:r>
        <w:rPr>
          <w:rFonts w:cs="Arial"/>
          <w:szCs w:val="22"/>
        </w:rPr>
        <w:t>.</w:t>
      </w:r>
    </w:p>
    <w:p w:rsidR="00A410D8" w:rsidRPr="000062FB" w:rsidRDefault="00A410D8" w:rsidP="00A410D8">
      <w:pPr>
        <w:pStyle w:val="ListParagraph"/>
        <w:autoSpaceDE w:val="0"/>
        <w:autoSpaceDN w:val="0"/>
        <w:adjustRightInd w:val="0"/>
        <w:spacing w:line="360" w:lineRule="auto"/>
        <w:ind w:left="1440"/>
        <w:jc w:val="both"/>
        <w:rPr>
          <w:rFonts w:eastAsia="Calibri"/>
          <w:szCs w:val="22"/>
        </w:rPr>
      </w:pPr>
    </w:p>
    <w:p w:rsidR="00A410D8" w:rsidRPr="00F241E1" w:rsidRDefault="00A410D8" w:rsidP="00F241E1">
      <w:pPr>
        <w:pStyle w:val="ListParagraph"/>
        <w:numPr>
          <w:ilvl w:val="0"/>
          <w:numId w:val="16"/>
        </w:numPr>
        <w:autoSpaceDE w:val="0"/>
        <w:autoSpaceDN w:val="0"/>
        <w:adjustRightInd w:val="0"/>
        <w:spacing w:after="120" w:line="276" w:lineRule="auto"/>
        <w:contextualSpacing w:val="0"/>
        <w:rPr>
          <w:rFonts w:cs="Arial"/>
          <w:szCs w:val="22"/>
        </w:rPr>
      </w:pPr>
      <w:r w:rsidRPr="00F241E1">
        <w:rPr>
          <w:rFonts w:cs="Arial"/>
          <w:szCs w:val="22"/>
        </w:rPr>
        <w:t xml:space="preserve">In order for the court to consider the matters set out in s 29E(1)&amp;(2) of the Act, if the following information was not provided to the interstate provider as part of the surrogacy arrangement, the application must also include: </w:t>
      </w:r>
    </w:p>
    <w:p w:rsidR="00A410D8" w:rsidRDefault="00A410D8" w:rsidP="00F241E1">
      <w:pPr>
        <w:pStyle w:val="ListParagraph"/>
        <w:numPr>
          <w:ilvl w:val="0"/>
          <w:numId w:val="28"/>
        </w:numPr>
        <w:autoSpaceDE w:val="0"/>
        <w:autoSpaceDN w:val="0"/>
        <w:adjustRightInd w:val="0"/>
        <w:spacing w:line="276" w:lineRule="auto"/>
        <w:jc w:val="both"/>
        <w:rPr>
          <w:rFonts w:eastAsia="Calibri"/>
          <w:szCs w:val="22"/>
        </w:rPr>
      </w:pPr>
      <w:r>
        <w:rPr>
          <w:rFonts w:cs="Arial"/>
          <w:szCs w:val="22"/>
        </w:rPr>
        <w:t>a criminal record check as evidence of whether the applicant(s) have had relevant charges proven or a relevant conviction</w:t>
      </w:r>
      <w:r>
        <w:rPr>
          <w:rStyle w:val="FootnoteReference"/>
          <w:rFonts w:cs="Arial"/>
          <w:szCs w:val="22"/>
        </w:rPr>
        <w:footnoteReference w:id="1"/>
      </w:r>
      <w:r>
        <w:rPr>
          <w:rFonts w:cs="Arial"/>
          <w:szCs w:val="22"/>
        </w:rPr>
        <w:t xml:space="preserve"> recorded against them; </w:t>
      </w:r>
    </w:p>
    <w:p w:rsidR="00A410D8" w:rsidRPr="000062FB" w:rsidRDefault="00A410D8" w:rsidP="00F241E1">
      <w:pPr>
        <w:pStyle w:val="ListParagraph"/>
        <w:numPr>
          <w:ilvl w:val="0"/>
          <w:numId w:val="28"/>
        </w:numPr>
        <w:autoSpaceDE w:val="0"/>
        <w:autoSpaceDN w:val="0"/>
        <w:adjustRightInd w:val="0"/>
        <w:spacing w:line="276" w:lineRule="auto"/>
        <w:jc w:val="both"/>
        <w:rPr>
          <w:rFonts w:eastAsia="Calibri"/>
          <w:szCs w:val="22"/>
        </w:rPr>
      </w:pPr>
      <w:r>
        <w:rPr>
          <w:rFonts w:cs="Arial"/>
          <w:szCs w:val="22"/>
        </w:rPr>
        <w:t xml:space="preserve">a child protection order check as evidence of whether </w:t>
      </w:r>
      <w:r w:rsidRPr="00386F21">
        <w:t xml:space="preserve">a child protection order has been made </w:t>
      </w:r>
      <w:r>
        <w:t>removing a child from their custody or guardianship against the applicant(s)</w:t>
      </w:r>
      <w:r>
        <w:rPr>
          <w:rFonts w:cs="Arial"/>
          <w:szCs w:val="22"/>
        </w:rPr>
        <w:t>; and</w:t>
      </w:r>
    </w:p>
    <w:p w:rsidR="00A410D8" w:rsidRPr="0018021D" w:rsidRDefault="00A410D8" w:rsidP="00F241E1">
      <w:pPr>
        <w:pStyle w:val="ListParagraph"/>
        <w:numPr>
          <w:ilvl w:val="0"/>
          <w:numId w:val="28"/>
        </w:numPr>
        <w:autoSpaceDE w:val="0"/>
        <w:autoSpaceDN w:val="0"/>
        <w:adjustRightInd w:val="0"/>
        <w:spacing w:line="276" w:lineRule="auto"/>
        <w:jc w:val="both"/>
        <w:rPr>
          <w:rFonts w:eastAsia="Calibri"/>
          <w:szCs w:val="22"/>
        </w:rPr>
      </w:pPr>
      <w:proofErr w:type="gramStart"/>
      <w:r>
        <w:rPr>
          <w:rFonts w:cs="Arial"/>
          <w:szCs w:val="22"/>
        </w:rPr>
        <w:lastRenderedPageBreak/>
        <w:t>a</w:t>
      </w:r>
      <w:proofErr w:type="gramEnd"/>
      <w:r>
        <w:rPr>
          <w:rFonts w:cs="Arial"/>
          <w:szCs w:val="22"/>
        </w:rPr>
        <w:t xml:space="preserve"> letter from the Patient Review P</w:t>
      </w:r>
      <w:r w:rsidRPr="007C1C98">
        <w:rPr>
          <w:rFonts w:cs="Arial"/>
          <w:szCs w:val="22"/>
        </w:rPr>
        <w:t xml:space="preserve">anel </w:t>
      </w:r>
      <w:r>
        <w:rPr>
          <w:rFonts w:cs="Arial"/>
          <w:szCs w:val="22"/>
        </w:rPr>
        <w:t xml:space="preserve">advising as to whether the applicants have previously sought and had </w:t>
      </w:r>
      <w:r w:rsidRPr="005E00CE">
        <w:rPr>
          <w:rFonts w:cs="Arial"/>
          <w:szCs w:val="22"/>
        </w:rPr>
        <w:t xml:space="preserve">refused to a </w:t>
      </w:r>
      <w:r>
        <w:rPr>
          <w:rFonts w:cs="Arial"/>
          <w:szCs w:val="22"/>
        </w:rPr>
        <w:t xml:space="preserve">Victorian </w:t>
      </w:r>
      <w:r w:rsidRPr="005E00CE">
        <w:rPr>
          <w:rFonts w:cs="Arial"/>
          <w:szCs w:val="22"/>
        </w:rPr>
        <w:t>surrogacy arrangement</w:t>
      </w:r>
      <w:r>
        <w:rPr>
          <w:rFonts w:cs="Arial"/>
          <w:szCs w:val="22"/>
        </w:rPr>
        <w:t>.</w:t>
      </w:r>
      <w:r>
        <w:rPr>
          <w:rStyle w:val="FootnoteReference"/>
          <w:rFonts w:cs="Arial"/>
          <w:szCs w:val="22"/>
        </w:rPr>
        <w:footnoteReference w:id="2"/>
      </w:r>
    </w:p>
    <w:p w:rsidR="00A410D8" w:rsidRPr="00CC076D" w:rsidRDefault="00A410D8" w:rsidP="00A410D8">
      <w:pPr>
        <w:pStyle w:val="ListParagraph"/>
        <w:autoSpaceDE w:val="0"/>
        <w:autoSpaceDN w:val="0"/>
        <w:adjustRightInd w:val="0"/>
        <w:spacing w:line="276" w:lineRule="auto"/>
        <w:ind w:left="1080"/>
        <w:jc w:val="both"/>
        <w:rPr>
          <w:rFonts w:eastAsia="Calibri"/>
          <w:szCs w:val="22"/>
        </w:rPr>
      </w:pPr>
    </w:p>
    <w:p w:rsidR="00F241E1" w:rsidRPr="00F241E1" w:rsidRDefault="00F241E1" w:rsidP="00A410D8">
      <w:pPr>
        <w:pStyle w:val="ListParagraph"/>
        <w:numPr>
          <w:ilvl w:val="0"/>
          <w:numId w:val="27"/>
        </w:numPr>
        <w:autoSpaceDE w:val="0"/>
        <w:autoSpaceDN w:val="0"/>
        <w:adjustRightInd w:val="0"/>
        <w:spacing w:line="276" w:lineRule="auto"/>
        <w:jc w:val="both"/>
        <w:rPr>
          <w:rFonts w:cs="Arial"/>
          <w:vanish/>
          <w:szCs w:val="22"/>
        </w:rPr>
      </w:pPr>
    </w:p>
    <w:p w:rsidR="00F241E1" w:rsidRPr="00F241E1" w:rsidRDefault="00F241E1" w:rsidP="00A410D8">
      <w:pPr>
        <w:pStyle w:val="ListParagraph"/>
        <w:numPr>
          <w:ilvl w:val="0"/>
          <w:numId w:val="27"/>
        </w:numPr>
        <w:autoSpaceDE w:val="0"/>
        <w:autoSpaceDN w:val="0"/>
        <w:adjustRightInd w:val="0"/>
        <w:spacing w:line="276" w:lineRule="auto"/>
        <w:jc w:val="both"/>
        <w:rPr>
          <w:rFonts w:cs="Arial"/>
          <w:vanish/>
          <w:szCs w:val="22"/>
        </w:rPr>
      </w:pPr>
    </w:p>
    <w:p w:rsidR="00F241E1" w:rsidRPr="00F241E1" w:rsidRDefault="00F241E1" w:rsidP="00A410D8">
      <w:pPr>
        <w:pStyle w:val="ListParagraph"/>
        <w:numPr>
          <w:ilvl w:val="0"/>
          <w:numId w:val="27"/>
        </w:numPr>
        <w:autoSpaceDE w:val="0"/>
        <w:autoSpaceDN w:val="0"/>
        <w:adjustRightInd w:val="0"/>
        <w:spacing w:line="276" w:lineRule="auto"/>
        <w:jc w:val="both"/>
        <w:rPr>
          <w:rFonts w:cs="Arial"/>
          <w:vanish/>
          <w:szCs w:val="22"/>
        </w:rPr>
      </w:pPr>
    </w:p>
    <w:p w:rsidR="00A410D8" w:rsidRDefault="00A410D8" w:rsidP="00F241E1">
      <w:pPr>
        <w:pStyle w:val="ListParagraph"/>
        <w:numPr>
          <w:ilvl w:val="0"/>
          <w:numId w:val="27"/>
        </w:numPr>
        <w:autoSpaceDE w:val="0"/>
        <w:autoSpaceDN w:val="0"/>
        <w:adjustRightInd w:val="0"/>
        <w:spacing w:line="276" w:lineRule="auto"/>
        <w:ind w:left="360"/>
        <w:jc w:val="both"/>
        <w:rPr>
          <w:rFonts w:cs="Arial"/>
          <w:szCs w:val="22"/>
        </w:rPr>
      </w:pPr>
      <w:r w:rsidRPr="00F241E1">
        <w:rPr>
          <w:rFonts w:cs="Arial"/>
          <w:szCs w:val="22"/>
        </w:rPr>
        <w:t xml:space="preserve">Following the filing of the application with the court, the applicant(s) </w:t>
      </w:r>
      <w:r>
        <w:rPr>
          <w:rFonts w:cs="Arial"/>
          <w:szCs w:val="22"/>
        </w:rPr>
        <w:t>must serve the application on the Secretary of the Department of Justice (pursuant to s 29C of the Act).</w:t>
      </w:r>
      <w:r>
        <w:rPr>
          <w:rStyle w:val="FootnoteReference"/>
          <w:rFonts w:cs="Arial"/>
          <w:szCs w:val="22"/>
        </w:rPr>
        <w:footnoteReference w:id="3"/>
      </w:r>
    </w:p>
    <w:p w:rsidR="00A410D8" w:rsidRPr="00293D7E" w:rsidRDefault="00A410D8" w:rsidP="00F241E1">
      <w:pPr>
        <w:pStyle w:val="ListParagraph"/>
        <w:autoSpaceDE w:val="0"/>
        <w:autoSpaceDN w:val="0"/>
        <w:adjustRightInd w:val="0"/>
        <w:spacing w:line="276" w:lineRule="auto"/>
        <w:ind w:left="360"/>
        <w:jc w:val="both"/>
        <w:rPr>
          <w:rFonts w:cs="Arial"/>
          <w:szCs w:val="22"/>
        </w:rPr>
      </w:pPr>
    </w:p>
    <w:p w:rsidR="00A410D8" w:rsidRPr="007E1637" w:rsidRDefault="00A410D8" w:rsidP="00F241E1">
      <w:pPr>
        <w:pStyle w:val="ListParagraph"/>
        <w:numPr>
          <w:ilvl w:val="0"/>
          <w:numId w:val="27"/>
        </w:numPr>
        <w:autoSpaceDE w:val="0"/>
        <w:autoSpaceDN w:val="0"/>
        <w:adjustRightInd w:val="0"/>
        <w:spacing w:line="276" w:lineRule="auto"/>
        <w:ind w:left="360"/>
        <w:jc w:val="both"/>
        <w:rPr>
          <w:rFonts w:eastAsia="Calibri"/>
          <w:szCs w:val="22"/>
        </w:rPr>
      </w:pPr>
      <w:r w:rsidRPr="007E1637">
        <w:rPr>
          <w:rFonts w:cs="Arial"/>
          <w:szCs w:val="22"/>
        </w:rPr>
        <w:t>Once the application and supporting documentation have been filed with the court, these will be considered by a Judge in chambers. The Judge will make directions as to:</w:t>
      </w:r>
    </w:p>
    <w:p w:rsidR="00A410D8" w:rsidRDefault="00A410D8" w:rsidP="00F241E1">
      <w:pPr>
        <w:pStyle w:val="ListParagraph"/>
        <w:numPr>
          <w:ilvl w:val="1"/>
          <w:numId w:val="27"/>
        </w:numPr>
        <w:autoSpaceDE w:val="0"/>
        <w:autoSpaceDN w:val="0"/>
        <w:adjustRightInd w:val="0"/>
        <w:spacing w:line="276" w:lineRule="auto"/>
        <w:ind w:left="1080"/>
        <w:jc w:val="both"/>
        <w:rPr>
          <w:rFonts w:cs="Arial"/>
          <w:szCs w:val="22"/>
        </w:rPr>
      </w:pPr>
      <w:r>
        <w:rPr>
          <w:rFonts w:cs="Arial"/>
          <w:szCs w:val="22"/>
        </w:rPr>
        <w:t>any further material the Judge requires the applicant to provide;</w:t>
      </w:r>
    </w:p>
    <w:p w:rsidR="00A410D8" w:rsidRDefault="00A410D8" w:rsidP="00F241E1">
      <w:pPr>
        <w:pStyle w:val="ListParagraph"/>
        <w:numPr>
          <w:ilvl w:val="1"/>
          <w:numId w:val="27"/>
        </w:numPr>
        <w:autoSpaceDE w:val="0"/>
        <w:autoSpaceDN w:val="0"/>
        <w:adjustRightInd w:val="0"/>
        <w:spacing w:line="276" w:lineRule="auto"/>
        <w:ind w:left="1080"/>
        <w:jc w:val="both"/>
        <w:rPr>
          <w:rFonts w:cs="Arial"/>
          <w:szCs w:val="22"/>
        </w:rPr>
      </w:pPr>
      <w:r>
        <w:rPr>
          <w:rFonts w:cs="Arial"/>
          <w:szCs w:val="22"/>
        </w:rPr>
        <w:t>the time by which the additional material to be provided by the applicants is to be filed and served;</w:t>
      </w:r>
    </w:p>
    <w:p w:rsidR="00A410D8" w:rsidRDefault="00A410D8" w:rsidP="00F241E1">
      <w:pPr>
        <w:pStyle w:val="ListParagraph"/>
        <w:numPr>
          <w:ilvl w:val="1"/>
          <w:numId w:val="27"/>
        </w:numPr>
        <w:autoSpaceDE w:val="0"/>
        <w:autoSpaceDN w:val="0"/>
        <w:adjustRightInd w:val="0"/>
        <w:spacing w:line="276" w:lineRule="auto"/>
        <w:ind w:left="1080"/>
        <w:jc w:val="both"/>
        <w:rPr>
          <w:rFonts w:cs="Arial"/>
          <w:szCs w:val="22"/>
        </w:rPr>
      </w:pPr>
      <w:r>
        <w:rPr>
          <w:rFonts w:cs="Arial"/>
          <w:szCs w:val="22"/>
        </w:rPr>
        <w:t xml:space="preserve">if the Judge considers that the Secretary should make further inquiries to assist the Court, the date for a directions hearing; and </w:t>
      </w:r>
    </w:p>
    <w:p w:rsidR="00A410D8" w:rsidRDefault="00A410D8" w:rsidP="00F241E1">
      <w:pPr>
        <w:pStyle w:val="ListParagraph"/>
        <w:numPr>
          <w:ilvl w:val="1"/>
          <w:numId w:val="27"/>
        </w:numPr>
        <w:autoSpaceDE w:val="0"/>
        <w:autoSpaceDN w:val="0"/>
        <w:adjustRightInd w:val="0"/>
        <w:spacing w:line="276" w:lineRule="auto"/>
        <w:ind w:left="1080"/>
        <w:jc w:val="both"/>
        <w:rPr>
          <w:rFonts w:cs="Arial"/>
          <w:szCs w:val="22"/>
        </w:rPr>
      </w:pPr>
      <w:proofErr w:type="gramStart"/>
      <w:r w:rsidRPr="00CE0BA8">
        <w:rPr>
          <w:rFonts w:cs="Arial"/>
          <w:szCs w:val="22"/>
        </w:rPr>
        <w:t>the</w:t>
      </w:r>
      <w:proofErr w:type="gramEnd"/>
      <w:r w:rsidRPr="00CE0BA8">
        <w:rPr>
          <w:rFonts w:cs="Arial"/>
          <w:szCs w:val="22"/>
        </w:rPr>
        <w:t xml:space="preserve"> date</w:t>
      </w:r>
      <w:r>
        <w:rPr>
          <w:rFonts w:cs="Arial"/>
          <w:szCs w:val="22"/>
        </w:rPr>
        <w:t>(s)</w:t>
      </w:r>
      <w:r w:rsidRPr="00CE0BA8">
        <w:rPr>
          <w:rFonts w:cs="Arial"/>
          <w:szCs w:val="22"/>
        </w:rPr>
        <w:t xml:space="preserve"> of the directions hearing (if necessary) and</w:t>
      </w:r>
      <w:r>
        <w:rPr>
          <w:rFonts w:cs="Arial"/>
          <w:szCs w:val="22"/>
        </w:rPr>
        <w:t>/or</w:t>
      </w:r>
      <w:r w:rsidRPr="00CE0BA8">
        <w:rPr>
          <w:rFonts w:cs="Arial"/>
          <w:szCs w:val="22"/>
        </w:rPr>
        <w:t xml:space="preserve"> final hearing.</w:t>
      </w:r>
    </w:p>
    <w:p w:rsidR="00A410D8" w:rsidRDefault="00A410D8" w:rsidP="00F241E1">
      <w:pPr>
        <w:pStyle w:val="ListParagraph"/>
        <w:autoSpaceDE w:val="0"/>
        <w:autoSpaceDN w:val="0"/>
        <w:adjustRightInd w:val="0"/>
        <w:spacing w:line="276" w:lineRule="auto"/>
        <w:ind w:left="1080"/>
        <w:jc w:val="both"/>
        <w:rPr>
          <w:rFonts w:cs="Arial"/>
          <w:szCs w:val="22"/>
        </w:rPr>
      </w:pPr>
    </w:p>
    <w:p w:rsidR="00FA0EDA" w:rsidRDefault="00A410D8" w:rsidP="00FA0EDA">
      <w:pPr>
        <w:pStyle w:val="ListParagraph"/>
        <w:numPr>
          <w:ilvl w:val="0"/>
          <w:numId w:val="27"/>
        </w:numPr>
        <w:autoSpaceDE w:val="0"/>
        <w:autoSpaceDN w:val="0"/>
        <w:adjustRightInd w:val="0"/>
        <w:spacing w:line="276" w:lineRule="auto"/>
        <w:ind w:left="360"/>
        <w:jc w:val="both"/>
        <w:rPr>
          <w:rFonts w:cs="Arial"/>
          <w:szCs w:val="22"/>
        </w:rPr>
      </w:pPr>
      <w:r w:rsidRPr="00CE0BA8">
        <w:rPr>
          <w:rFonts w:cs="Arial"/>
          <w:szCs w:val="22"/>
        </w:rPr>
        <w:t>The Court will notify the applicant(s) and the Secretary in writing of the directions made an</w:t>
      </w:r>
      <w:r>
        <w:rPr>
          <w:rFonts w:cs="Arial"/>
          <w:szCs w:val="22"/>
        </w:rPr>
        <w:t>d provide the Secretary with any</w:t>
      </w:r>
      <w:r w:rsidRPr="00CE0BA8">
        <w:rPr>
          <w:rFonts w:cs="Arial"/>
          <w:szCs w:val="22"/>
        </w:rPr>
        <w:t xml:space="preserve"> supporting documentation. </w:t>
      </w:r>
    </w:p>
    <w:p w:rsidR="00FA0EDA" w:rsidRPr="00F962B8" w:rsidRDefault="00FA0EDA" w:rsidP="00F962B8">
      <w:pPr>
        <w:autoSpaceDE w:val="0"/>
        <w:autoSpaceDN w:val="0"/>
        <w:adjustRightInd w:val="0"/>
        <w:spacing w:line="276" w:lineRule="auto"/>
        <w:jc w:val="both"/>
        <w:rPr>
          <w:rFonts w:cs="Arial"/>
          <w:szCs w:val="22"/>
        </w:rPr>
      </w:pPr>
    </w:p>
    <w:p w:rsidR="00A410D8" w:rsidRDefault="00A410D8" w:rsidP="00F241E1">
      <w:pPr>
        <w:numPr>
          <w:ilvl w:val="0"/>
          <w:numId w:val="27"/>
        </w:numPr>
        <w:autoSpaceDE w:val="0"/>
        <w:autoSpaceDN w:val="0"/>
        <w:adjustRightInd w:val="0"/>
        <w:spacing w:line="276" w:lineRule="auto"/>
        <w:ind w:left="360"/>
        <w:rPr>
          <w:rFonts w:cs="Arial"/>
          <w:szCs w:val="22"/>
        </w:rPr>
      </w:pPr>
      <w:r>
        <w:rPr>
          <w:rFonts w:cs="Arial"/>
          <w:szCs w:val="22"/>
        </w:rPr>
        <w:t>Pursuant to s 29D of the Act, the Secretary may appear or be represented at the hearing.</w:t>
      </w:r>
      <w:r>
        <w:rPr>
          <w:rStyle w:val="FootnoteReference"/>
          <w:rFonts w:cs="Arial"/>
          <w:szCs w:val="22"/>
        </w:rPr>
        <w:footnoteReference w:id="4"/>
      </w:r>
    </w:p>
    <w:p w:rsidR="00A410D8" w:rsidRDefault="00A410D8" w:rsidP="00F241E1">
      <w:pPr>
        <w:autoSpaceDE w:val="0"/>
        <w:autoSpaceDN w:val="0"/>
        <w:adjustRightInd w:val="0"/>
        <w:spacing w:line="276" w:lineRule="auto"/>
        <w:rPr>
          <w:rFonts w:cs="Arial"/>
          <w:szCs w:val="22"/>
        </w:rPr>
      </w:pPr>
    </w:p>
    <w:p w:rsidR="00A410D8" w:rsidRPr="007C1C98" w:rsidRDefault="00A410D8" w:rsidP="00F241E1">
      <w:pPr>
        <w:numPr>
          <w:ilvl w:val="0"/>
          <w:numId w:val="27"/>
        </w:numPr>
        <w:autoSpaceDE w:val="0"/>
        <w:autoSpaceDN w:val="0"/>
        <w:adjustRightInd w:val="0"/>
        <w:spacing w:line="276" w:lineRule="auto"/>
        <w:ind w:left="360"/>
        <w:rPr>
          <w:rFonts w:cs="Arial"/>
          <w:szCs w:val="22"/>
        </w:rPr>
      </w:pPr>
      <w:r>
        <w:rPr>
          <w:rFonts w:cs="Arial"/>
          <w:szCs w:val="22"/>
        </w:rPr>
        <w:t>The Judge will hear the matter and based on the evidence before the court, determine whether to make a registration order under s 29E of the Act.</w:t>
      </w:r>
    </w:p>
    <w:p w:rsidR="00A410D8" w:rsidRDefault="00A410D8" w:rsidP="00A410D8">
      <w:pPr>
        <w:autoSpaceDE w:val="0"/>
        <w:autoSpaceDN w:val="0"/>
        <w:adjustRightInd w:val="0"/>
        <w:spacing w:line="276" w:lineRule="auto"/>
        <w:ind w:left="720"/>
        <w:rPr>
          <w:rFonts w:cs="Arial"/>
          <w:szCs w:val="22"/>
        </w:rPr>
      </w:pPr>
    </w:p>
    <w:p w:rsidR="00A410D8" w:rsidRDefault="00A410D8" w:rsidP="00A410D8">
      <w:pPr>
        <w:autoSpaceDE w:val="0"/>
        <w:autoSpaceDN w:val="0"/>
        <w:adjustRightInd w:val="0"/>
        <w:spacing w:line="276" w:lineRule="auto"/>
        <w:ind w:left="720"/>
        <w:rPr>
          <w:rFonts w:cs="Arial"/>
          <w:szCs w:val="22"/>
        </w:rPr>
      </w:pPr>
    </w:p>
    <w:p w:rsidR="00FA0EDA" w:rsidRDefault="00FA0EDA">
      <w:pPr>
        <w:spacing w:after="200" w:line="276" w:lineRule="auto"/>
      </w:pPr>
      <w:r>
        <w:br w:type="page"/>
      </w:r>
    </w:p>
    <w:p w:rsidR="00FA0EDA" w:rsidRPr="007C0436" w:rsidRDefault="00FA0EDA" w:rsidP="00FA0EDA">
      <w:pPr>
        <w:jc w:val="center"/>
        <w:rPr>
          <w:rFonts w:cs="Arial"/>
          <w:b/>
          <w:szCs w:val="22"/>
        </w:rPr>
      </w:pPr>
      <w:r w:rsidRPr="007C0436">
        <w:rPr>
          <w:rFonts w:cs="Arial"/>
          <w:b/>
          <w:szCs w:val="22"/>
        </w:rPr>
        <w:lastRenderedPageBreak/>
        <w:t>Effect of date of surrogacy arrangement on making of registration order</w:t>
      </w:r>
    </w:p>
    <w:p w:rsidR="00FA0EDA" w:rsidRPr="007C0436" w:rsidRDefault="00FA0EDA" w:rsidP="00FA0EDA">
      <w:pPr>
        <w:rPr>
          <w:szCs w:val="22"/>
        </w:rPr>
      </w:pPr>
    </w:p>
    <w:p w:rsidR="00FA0EDA" w:rsidRPr="007C0436" w:rsidRDefault="00FA0EDA" w:rsidP="00FA0EDA">
      <w:pPr>
        <w:rPr>
          <w:rFonts w:cs="Arial"/>
          <w:szCs w:val="22"/>
        </w:rPr>
      </w:pPr>
      <w:r w:rsidRPr="007C0436">
        <w:rPr>
          <w:rFonts w:cs="Arial"/>
          <w:szCs w:val="22"/>
        </w:rPr>
        <w:t xml:space="preserve">New section 48 of the </w:t>
      </w:r>
      <w:r w:rsidRPr="007C0436">
        <w:rPr>
          <w:rFonts w:cs="Arial"/>
          <w:i/>
          <w:szCs w:val="22"/>
        </w:rPr>
        <w:t>Status of Children Act 1974</w:t>
      </w:r>
      <w:r w:rsidRPr="007C0436">
        <w:rPr>
          <w:rFonts w:cs="Arial"/>
          <w:szCs w:val="22"/>
        </w:rPr>
        <w:t xml:space="preserve"> (as inserted by section 41 of the </w:t>
      </w:r>
      <w:r w:rsidRPr="007C0436">
        <w:rPr>
          <w:rFonts w:cs="Arial"/>
          <w:i/>
          <w:szCs w:val="22"/>
        </w:rPr>
        <w:t>Justice Legislation Amendment (Succession and Surrogacy) Act 2014</w:t>
      </w:r>
      <w:r w:rsidRPr="007C0436">
        <w:rPr>
          <w:rFonts w:cs="Arial"/>
          <w:szCs w:val="22"/>
        </w:rPr>
        <w:t xml:space="preserve">) provides that Part IV of that Act, as amended by the amending Act, applies in respect of a surrogacy arrangement entered into before commencement of the amending Act, subject to certain modifications.  </w:t>
      </w:r>
    </w:p>
    <w:p w:rsidR="00FA0EDA" w:rsidRPr="007C0436" w:rsidRDefault="00FA0EDA" w:rsidP="00FA0EDA">
      <w:pPr>
        <w:rPr>
          <w:rFonts w:cs="Arial"/>
          <w:b/>
          <w:szCs w:val="22"/>
        </w:rPr>
      </w:pPr>
    </w:p>
    <w:p w:rsidR="00FA0EDA" w:rsidRPr="007C0436" w:rsidRDefault="00FA0EDA" w:rsidP="00FA0EDA">
      <w:pPr>
        <w:rPr>
          <w:rFonts w:cs="Arial"/>
          <w:b/>
          <w:szCs w:val="22"/>
        </w:rPr>
      </w:pPr>
    </w:p>
    <w:tbl>
      <w:tblPr>
        <w:tblW w:w="9246"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0"/>
        <w:gridCol w:w="6946"/>
      </w:tblGrid>
      <w:tr w:rsidR="00FA0EDA" w:rsidRPr="007C0436" w:rsidTr="00A45C88">
        <w:trPr>
          <w:cantSplit/>
          <w:tblHeader/>
        </w:trPr>
        <w:tc>
          <w:tcPr>
            <w:tcW w:w="2300" w:type="dxa"/>
            <w:vAlign w:val="center"/>
          </w:tcPr>
          <w:p w:rsidR="00FA0EDA" w:rsidRPr="007C0436" w:rsidRDefault="00FA0EDA" w:rsidP="00A45C88">
            <w:pPr>
              <w:ind w:left="-108"/>
              <w:jc w:val="center"/>
              <w:rPr>
                <w:rFonts w:cs="Arial"/>
                <w:b/>
                <w:szCs w:val="22"/>
              </w:rPr>
            </w:pPr>
            <w:r w:rsidRPr="007C0436">
              <w:rPr>
                <w:rFonts w:cs="Arial"/>
                <w:b/>
                <w:szCs w:val="22"/>
              </w:rPr>
              <w:t>Date of surrogacy arrangement</w:t>
            </w:r>
          </w:p>
        </w:tc>
        <w:tc>
          <w:tcPr>
            <w:tcW w:w="6946" w:type="dxa"/>
          </w:tcPr>
          <w:p w:rsidR="00FA0EDA" w:rsidRPr="007C0436" w:rsidRDefault="00FA0EDA" w:rsidP="00A45C88">
            <w:pPr>
              <w:ind w:left="16"/>
              <w:jc w:val="center"/>
              <w:rPr>
                <w:rFonts w:cs="Arial"/>
                <w:b/>
                <w:szCs w:val="22"/>
              </w:rPr>
            </w:pPr>
            <w:r w:rsidRPr="007C0436">
              <w:rPr>
                <w:rFonts w:cs="Arial"/>
                <w:b/>
                <w:szCs w:val="22"/>
              </w:rPr>
              <w:t>Effect</w:t>
            </w:r>
          </w:p>
        </w:tc>
      </w:tr>
      <w:tr w:rsidR="00FA0EDA" w:rsidRPr="007C0436" w:rsidTr="00A45C88">
        <w:trPr>
          <w:cantSplit/>
        </w:trPr>
        <w:tc>
          <w:tcPr>
            <w:tcW w:w="2300" w:type="dxa"/>
          </w:tcPr>
          <w:p w:rsidR="00FA0EDA" w:rsidRPr="007C0436" w:rsidRDefault="00FA0EDA" w:rsidP="00A45C88">
            <w:pPr>
              <w:rPr>
                <w:rFonts w:cs="Arial"/>
                <w:szCs w:val="22"/>
              </w:rPr>
            </w:pPr>
            <w:r w:rsidRPr="007C0436">
              <w:rPr>
                <w:rFonts w:cs="Arial"/>
                <w:szCs w:val="22"/>
              </w:rPr>
              <w:t>If the surrogacy arrangement was entered into before 1 January 2010</w:t>
            </w:r>
          </w:p>
        </w:tc>
        <w:tc>
          <w:tcPr>
            <w:tcW w:w="6946" w:type="dxa"/>
          </w:tcPr>
          <w:p w:rsidR="00FA0EDA" w:rsidRPr="007C0436" w:rsidRDefault="00FA0EDA" w:rsidP="00A45C88">
            <w:pPr>
              <w:rPr>
                <w:rFonts w:cs="Arial"/>
                <w:szCs w:val="22"/>
              </w:rPr>
            </w:pPr>
            <w:r w:rsidRPr="007C0436">
              <w:rPr>
                <w:rFonts w:cs="Arial"/>
                <w:szCs w:val="22"/>
              </w:rPr>
              <w:t xml:space="preserve">The court may make a registration order under new section 29E of the </w:t>
            </w:r>
            <w:r w:rsidRPr="007C0436">
              <w:rPr>
                <w:rFonts w:cs="Arial"/>
                <w:i/>
                <w:szCs w:val="22"/>
              </w:rPr>
              <w:t>Status of Children Act 1974</w:t>
            </w:r>
            <w:r w:rsidRPr="007C0436">
              <w:rPr>
                <w:rFonts w:cs="Arial"/>
                <w:szCs w:val="22"/>
              </w:rPr>
              <w:t xml:space="preserve"> if it is satisfied that the making of the registration order is in the best interests of the child.  </w:t>
            </w:r>
          </w:p>
          <w:p w:rsidR="00FA0EDA" w:rsidRPr="007C0436" w:rsidRDefault="00FA0EDA" w:rsidP="00A45C88">
            <w:pPr>
              <w:rPr>
                <w:rFonts w:cs="Arial"/>
                <w:szCs w:val="22"/>
              </w:rPr>
            </w:pPr>
          </w:p>
          <w:p w:rsidR="00FA0EDA" w:rsidRPr="007C0436" w:rsidRDefault="00FA0EDA" w:rsidP="00A45C88">
            <w:pPr>
              <w:rPr>
                <w:rFonts w:cs="Arial"/>
                <w:szCs w:val="22"/>
              </w:rPr>
            </w:pPr>
            <w:r w:rsidRPr="007C0436">
              <w:rPr>
                <w:rFonts w:cs="Arial"/>
                <w:szCs w:val="22"/>
              </w:rPr>
              <w:t xml:space="preserve">The other criteria under section 29E, which the court would otherwise need to be satisfied of, do not apply.  </w:t>
            </w:r>
          </w:p>
          <w:p w:rsidR="00FA0EDA" w:rsidRPr="007C0436" w:rsidRDefault="00FA0EDA" w:rsidP="00A45C88">
            <w:pPr>
              <w:rPr>
                <w:rFonts w:cs="Arial"/>
                <w:szCs w:val="22"/>
              </w:rPr>
            </w:pPr>
          </w:p>
          <w:p w:rsidR="00FA0EDA" w:rsidRPr="007C0436" w:rsidRDefault="00FA0EDA" w:rsidP="00A45C88">
            <w:pPr>
              <w:rPr>
                <w:rFonts w:cs="Arial"/>
                <w:szCs w:val="22"/>
              </w:rPr>
            </w:pPr>
            <w:r w:rsidRPr="007C0436">
              <w:rPr>
                <w:rFonts w:cs="Arial"/>
                <w:szCs w:val="22"/>
              </w:rPr>
              <w:t xml:space="preserve">Further, new sections 29C and 29D of the </w:t>
            </w:r>
            <w:r w:rsidRPr="007C0436">
              <w:rPr>
                <w:rFonts w:cs="Arial"/>
                <w:i/>
                <w:szCs w:val="22"/>
              </w:rPr>
              <w:t>Status of Children Act 1974</w:t>
            </w:r>
            <w:r w:rsidRPr="007C0436">
              <w:rPr>
                <w:rFonts w:cs="Arial"/>
                <w:szCs w:val="22"/>
              </w:rPr>
              <w:t>, under which the Secretary of the Department of Justice is to be given notice of an application for a registration order and is permitted to appear or be represented at the hearing, do not apply to these pre-2010 arrangements.</w:t>
            </w:r>
          </w:p>
        </w:tc>
      </w:tr>
      <w:tr w:rsidR="00FA0EDA" w:rsidRPr="007C0436" w:rsidTr="00A45C88">
        <w:trPr>
          <w:cantSplit/>
        </w:trPr>
        <w:tc>
          <w:tcPr>
            <w:tcW w:w="2300" w:type="dxa"/>
          </w:tcPr>
          <w:p w:rsidR="00FA0EDA" w:rsidRPr="007C0436" w:rsidRDefault="00FA0EDA" w:rsidP="00A45C88">
            <w:pPr>
              <w:rPr>
                <w:rFonts w:cs="Arial"/>
                <w:szCs w:val="22"/>
              </w:rPr>
            </w:pPr>
            <w:bookmarkStart w:id="1" w:name="_Hlk379469073"/>
            <w:r w:rsidRPr="007C0436">
              <w:rPr>
                <w:rFonts w:cs="Arial"/>
                <w:szCs w:val="22"/>
              </w:rPr>
              <w:t>If the surrogacy arrangement was entered into on or after 1 January 2010, but before commencement of this Act (30 October 2014)</w:t>
            </w:r>
          </w:p>
        </w:tc>
        <w:tc>
          <w:tcPr>
            <w:tcW w:w="6946" w:type="dxa"/>
          </w:tcPr>
          <w:p w:rsidR="00FA0EDA" w:rsidRPr="007C0436" w:rsidRDefault="00FA0EDA" w:rsidP="00A45C88">
            <w:pPr>
              <w:rPr>
                <w:rFonts w:cs="Arial"/>
                <w:szCs w:val="22"/>
              </w:rPr>
            </w:pPr>
            <w:r w:rsidRPr="007C0436">
              <w:rPr>
                <w:rFonts w:cs="Arial"/>
                <w:szCs w:val="22"/>
              </w:rPr>
              <w:t xml:space="preserve">The court may make a registration order under new section 29E of the </w:t>
            </w:r>
            <w:r w:rsidRPr="007C0436">
              <w:rPr>
                <w:rFonts w:cs="Arial"/>
                <w:i/>
                <w:szCs w:val="22"/>
              </w:rPr>
              <w:t>Status of Children Act 1974</w:t>
            </w:r>
            <w:r w:rsidRPr="007C0436">
              <w:rPr>
                <w:rFonts w:cs="Arial"/>
                <w:b/>
                <w:szCs w:val="22"/>
              </w:rPr>
              <w:t xml:space="preserve"> </w:t>
            </w:r>
            <w:r w:rsidRPr="007C0436">
              <w:rPr>
                <w:rFonts w:cs="Arial"/>
                <w:szCs w:val="22"/>
              </w:rPr>
              <w:t xml:space="preserve">if it is satisfied that the making of the order is in the best interests of the child, the commissioning parents did not enter into the surrogacy arrangement for the purpose of avoiding requirements under Part IV of the </w:t>
            </w:r>
            <w:r w:rsidRPr="007C0436">
              <w:rPr>
                <w:rFonts w:cs="Arial"/>
                <w:i/>
                <w:szCs w:val="22"/>
              </w:rPr>
              <w:t>Status of Children Act 1974</w:t>
            </w:r>
            <w:r w:rsidRPr="007C0436">
              <w:rPr>
                <w:rFonts w:cs="Arial"/>
                <w:szCs w:val="22"/>
              </w:rPr>
              <w:t xml:space="preserve"> or under the </w:t>
            </w:r>
            <w:r w:rsidRPr="007C0436">
              <w:rPr>
                <w:rFonts w:cs="Arial"/>
                <w:i/>
                <w:szCs w:val="22"/>
              </w:rPr>
              <w:t>Assisted Reproductive Treatment Act 2008</w:t>
            </w:r>
            <w:r w:rsidRPr="007C0436">
              <w:rPr>
                <w:rFonts w:cs="Arial"/>
                <w:szCs w:val="22"/>
              </w:rPr>
              <w:t xml:space="preserve"> and the commissioning parents had a genuine connection to the Australian State or Territory in which the child was conceived.  </w:t>
            </w:r>
          </w:p>
          <w:p w:rsidR="00FA0EDA" w:rsidRPr="007C0436" w:rsidRDefault="00FA0EDA" w:rsidP="00A45C88">
            <w:pPr>
              <w:rPr>
                <w:rFonts w:cs="Arial"/>
                <w:szCs w:val="22"/>
              </w:rPr>
            </w:pPr>
          </w:p>
          <w:p w:rsidR="00FA0EDA" w:rsidRPr="007C0436" w:rsidRDefault="00FA0EDA" w:rsidP="00A45C88">
            <w:pPr>
              <w:rPr>
                <w:rFonts w:cs="Arial"/>
                <w:szCs w:val="22"/>
              </w:rPr>
            </w:pPr>
            <w:r w:rsidRPr="007C0436">
              <w:rPr>
                <w:rFonts w:cs="Arial"/>
                <w:szCs w:val="22"/>
              </w:rPr>
              <w:t>The other criteria under section 29E, of which the court would otherwise need to be satisfied, do not apply.</w:t>
            </w:r>
          </w:p>
        </w:tc>
      </w:tr>
      <w:tr w:rsidR="00FA0EDA" w:rsidRPr="007C0436" w:rsidTr="00A45C88">
        <w:trPr>
          <w:cantSplit/>
        </w:trPr>
        <w:tc>
          <w:tcPr>
            <w:tcW w:w="2300" w:type="dxa"/>
          </w:tcPr>
          <w:p w:rsidR="00FA0EDA" w:rsidRPr="007C0436" w:rsidRDefault="00FA0EDA" w:rsidP="00A45C88">
            <w:pPr>
              <w:rPr>
                <w:rFonts w:cs="Arial"/>
                <w:szCs w:val="22"/>
              </w:rPr>
            </w:pPr>
            <w:r w:rsidRPr="007C0436">
              <w:rPr>
                <w:rFonts w:cs="Arial"/>
                <w:szCs w:val="22"/>
              </w:rPr>
              <w:t>On or after commencement of this Act (30 October 2014)</w:t>
            </w:r>
          </w:p>
        </w:tc>
        <w:tc>
          <w:tcPr>
            <w:tcW w:w="6946" w:type="dxa"/>
          </w:tcPr>
          <w:p w:rsidR="00FA0EDA" w:rsidRPr="007C0436" w:rsidRDefault="00FA0EDA" w:rsidP="00A45C88">
            <w:pPr>
              <w:spacing w:after="60"/>
              <w:ind w:left="17"/>
              <w:rPr>
                <w:rFonts w:cs="Arial"/>
                <w:szCs w:val="22"/>
              </w:rPr>
            </w:pPr>
            <w:r w:rsidRPr="007C0436">
              <w:rPr>
                <w:rFonts w:cs="Arial"/>
                <w:szCs w:val="22"/>
              </w:rPr>
              <w:t>The provisions of the Act apply.</w:t>
            </w:r>
          </w:p>
        </w:tc>
      </w:tr>
      <w:bookmarkEnd w:id="1"/>
    </w:tbl>
    <w:p w:rsidR="00FA0EDA" w:rsidRPr="007C0436" w:rsidRDefault="00FA0EDA" w:rsidP="00FA0EDA">
      <w:pPr>
        <w:spacing w:after="60"/>
        <w:rPr>
          <w:szCs w:val="22"/>
        </w:rPr>
      </w:pPr>
    </w:p>
    <w:p w:rsidR="00FA0EDA" w:rsidRPr="007C0436" w:rsidRDefault="00FA0EDA" w:rsidP="00FA0EDA">
      <w:pPr>
        <w:spacing w:after="60"/>
        <w:rPr>
          <w:szCs w:val="22"/>
        </w:rPr>
      </w:pPr>
    </w:p>
    <w:p w:rsidR="00FA0EDA" w:rsidRPr="007C0436" w:rsidRDefault="00FA0EDA" w:rsidP="00FA0EDA">
      <w:pPr>
        <w:rPr>
          <w:rFonts w:cs="Arial"/>
          <w:b/>
          <w:szCs w:val="22"/>
        </w:rPr>
      </w:pPr>
    </w:p>
    <w:p w:rsidR="00FA0EDA" w:rsidRDefault="00FA0EDA" w:rsidP="00FA0EDA">
      <w:pPr>
        <w:jc w:val="center"/>
        <w:rPr>
          <w:rFonts w:cs="Arial"/>
          <w:b/>
        </w:rPr>
      </w:pPr>
    </w:p>
    <w:p w:rsidR="00FA0EDA" w:rsidRDefault="00FA0EDA" w:rsidP="00FA0EDA">
      <w:pPr>
        <w:jc w:val="center"/>
        <w:rPr>
          <w:rFonts w:cs="Arial"/>
          <w:b/>
        </w:rPr>
      </w:pPr>
    </w:p>
    <w:p w:rsidR="00FA0EDA" w:rsidRDefault="00FA0EDA" w:rsidP="00FA0EDA">
      <w:pPr>
        <w:jc w:val="center"/>
        <w:rPr>
          <w:rFonts w:cs="Arial"/>
          <w:b/>
        </w:rPr>
      </w:pPr>
    </w:p>
    <w:p w:rsidR="00FA0EDA" w:rsidRDefault="00FA0EDA" w:rsidP="00FA0EDA">
      <w:pPr>
        <w:jc w:val="center"/>
        <w:rPr>
          <w:rFonts w:cs="Arial"/>
          <w:b/>
        </w:rPr>
      </w:pPr>
    </w:p>
    <w:p w:rsidR="00FA0EDA" w:rsidRDefault="00FA0EDA" w:rsidP="00FA0EDA">
      <w:pPr>
        <w:jc w:val="center"/>
        <w:rPr>
          <w:rFonts w:cs="Arial"/>
          <w:b/>
        </w:rPr>
      </w:pPr>
    </w:p>
    <w:p w:rsidR="00FF3274" w:rsidRPr="00FF3274" w:rsidRDefault="00FF3274" w:rsidP="00FF3274">
      <w:pPr>
        <w:tabs>
          <w:tab w:val="left" w:pos="8255"/>
        </w:tabs>
      </w:pPr>
    </w:p>
    <w:sectPr w:rsidR="00FF3274" w:rsidRPr="00FF3274" w:rsidSect="002C5DD8">
      <w:headerReference w:type="default" r:id="rId8"/>
      <w:footerReference w:type="default" r:id="rId9"/>
      <w:headerReference w:type="first" r:id="rId10"/>
      <w:pgSz w:w="11906" w:h="16838"/>
      <w:pgMar w:top="1843" w:right="1133" w:bottom="1134" w:left="1134"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3D" w:rsidRDefault="0039423D" w:rsidP="00061816">
      <w:r>
        <w:separator/>
      </w:r>
    </w:p>
  </w:endnote>
  <w:endnote w:type="continuationSeparator" w:id="0">
    <w:p w:rsidR="0039423D" w:rsidRDefault="0039423D"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03367"/>
      <w:docPartObj>
        <w:docPartGallery w:val="Page Numbers (Bottom of Page)"/>
        <w:docPartUnique/>
      </w:docPartObj>
    </w:sdtPr>
    <w:sdtEndPr/>
    <w:sdtContent>
      <w:sdt>
        <w:sdtPr>
          <w:id w:val="-1769616900"/>
          <w:docPartObj>
            <w:docPartGallery w:val="Page Numbers (Top of Page)"/>
            <w:docPartUnique/>
          </w:docPartObj>
        </w:sdtPr>
        <w:sdtEndPr/>
        <w:sdtContent>
          <w:p w:rsidR="00681A7F" w:rsidRDefault="00681A7F">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DB4B2F">
              <w:rPr>
                <w:bCs/>
                <w:noProof/>
                <w:sz w:val="20"/>
              </w:rPr>
              <w:t>3</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DB4B2F">
              <w:rPr>
                <w:bCs/>
                <w:noProof/>
                <w:sz w:val="20"/>
              </w:rPr>
              <w:t>3</w:t>
            </w:r>
            <w:r w:rsidRPr="00EB4C57">
              <w:rPr>
                <w:bCs/>
                <w:sz w:val="20"/>
              </w:rPr>
              <w:fldChar w:fldCharType="end"/>
            </w:r>
          </w:p>
        </w:sdtContent>
      </w:sdt>
    </w:sdtContent>
  </w:sdt>
  <w:p w:rsidR="00681A7F" w:rsidRPr="007348D4" w:rsidRDefault="00681A7F" w:rsidP="007348D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3D" w:rsidRDefault="0039423D" w:rsidP="00061816">
      <w:r>
        <w:separator/>
      </w:r>
    </w:p>
  </w:footnote>
  <w:footnote w:type="continuationSeparator" w:id="0">
    <w:p w:rsidR="0039423D" w:rsidRDefault="0039423D" w:rsidP="00061816">
      <w:r>
        <w:continuationSeparator/>
      </w:r>
    </w:p>
  </w:footnote>
  <w:footnote w:id="1">
    <w:p w:rsidR="00681A7F" w:rsidRDefault="00681A7F" w:rsidP="00A410D8">
      <w:pPr>
        <w:rPr>
          <w:rFonts w:cs="Arial"/>
          <w:b/>
          <w:sz w:val="20"/>
        </w:rPr>
      </w:pPr>
      <w:r>
        <w:rPr>
          <w:rStyle w:val="FootnoteReference"/>
        </w:rPr>
        <w:footnoteRef/>
      </w:r>
      <w:r>
        <w:t xml:space="preserve"> </w:t>
      </w:r>
      <w:r>
        <w:tab/>
      </w:r>
      <w:r w:rsidRPr="00CE0BA8">
        <w:rPr>
          <w:rFonts w:cs="Arial"/>
          <w:sz w:val="20"/>
        </w:rPr>
        <w:t xml:space="preserve">Relevant charges/convictions are those as set out in s 14(1)(a) of the </w:t>
      </w:r>
      <w:r>
        <w:rPr>
          <w:rFonts w:cs="Arial"/>
          <w:i/>
          <w:sz w:val="20"/>
        </w:rPr>
        <w:t xml:space="preserve">Assisted </w:t>
      </w:r>
      <w:r w:rsidRPr="00CE0BA8">
        <w:rPr>
          <w:rFonts w:cs="Arial"/>
          <w:i/>
          <w:sz w:val="20"/>
        </w:rPr>
        <w:t xml:space="preserve">Reproductive </w:t>
      </w:r>
      <w:r>
        <w:rPr>
          <w:rFonts w:cs="Arial"/>
          <w:i/>
          <w:sz w:val="20"/>
        </w:rPr>
        <w:tab/>
      </w:r>
      <w:r w:rsidRPr="00CE0BA8">
        <w:rPr>
          <w:rFonts w:cs="Arial"/>
          <w:i/>
          <w:sz w:val="20"/>
        </w:rPr>
        <w:t>Treatment Act 2008</w:t>
      </w:r>
      <w:r w:rsidRPr="00CE0BA8">
        <w:rPr>
          <w:rFonts w:cs="Arial"/>
          <w:sz w:val="20"/>
        </w:rPr>
        <w:t xml:space="preserve"> (charge proven o</w:t>
      </w:r>
      <w:r>
        <w:rPr>
          <w:rFonts w:cs="Arial"/>
          <w:sz w:val="20"/>
        </w:rPr>
        <w:t xml:space="preserve">f a sexual offence referred to </w:t>
      </w:r>
      <w:r w:rsidRPr="00CE0BA8">
        <w:rPr>
          <w:rFonts w:cs="Arial"/>
          <w:sz w:val="20"/>
        </w:rPr>
        <w:t xml:space="preserve">in clause 1 of Schedule 1 to the </w:t>
      </w:r>
      <w:r>
        <w:rPr>
          <w:rFonts w:cs="Arial"/>
          <w:sz w:val="20"/>
        </w:rPr>
        <w:tab/>
      </w:r>
      <w:r w:rsidRPr="00CE0BA8">
        <w:rPr>
          <w:rFonts w:cs="Arial"/>
          <w:i/>
          <w:sz w:val="20"/>
        </w:rPr>
        <w:t>Sentencing Act 1991</w:t>
      </w:r>
      <w:r>
        <w:rPr>
          <w:rFonts w:cs="Arial"/>
          <w:sz w:val="20"/>
        </w:rPr>
        <w:t xml:space="preserve"> or convicted of a violent </w:t>
      </w:r>
      <w:r w:rsidRPr="00CE0BA8">
        <w:rPr>
          <w:rFonts w:cs="Arial"/>
          <w:sz w:val="20"/>
        </w:rPr>
        <w:t xml:space="preserve">offence referred to in clause 2 of Schedule 1 to the </w:t>
      </w:r>
      <w:r>
        <w:rPr>
          <w:rFonts w:cs="Arial"/>
          <w:sz w:val="20"/>
        </w:rPr>
        <w:tab/>
      </w:r>
      <w:r w:rsidRPr="00CE0BA8">
        <w:rPr>
          <w:rFonts w:cs="Arial"/>
          <w:i/>
          <w:sz w:val="20"/>
        </w:rPr>
        <w:t>Sentencing Act 1991</w:t>
      </w:r>
      <w:r w:rsidRPr="00CE0BA8">
        <w:rPr>
          <w:rFonts w:cs="Arial"/>
          <w:sz w:val="20"/>
        </w:rPr>
        <w:t>)</w:t>
      </w:r>
      <w:r>
        <w:rPr>
          <w:rFonts w:cs="Arial"/>
          <w:sz w:val="20"/>
        </w:rPr>
        <w:t>.</w:t>
      </w:r>
    </w:p>
    <w:p w:rsidR="00681A7F" w:rsidRPr="004965A9" w:rsidRDefault="00681A7F" w:rsidP="00A410D8"/>
  </w:footnote>
  <w:footnote w:id="2">
    <w:p w:rsidR="00681A7F" w:rsidRDefault="00681A7F" w:rsidP="00A410D8">
      <w:pPr>
        <w:pStyle w:val="FootnoteText"/>
      </w:pPr>
      <w:r>
        <w:rPr>
          <w:rStyle w:val="FootnoteReference"/>
        </w:rPr>
        <w:footnoteRef/>
      </w:r>
      <w:r>
        <w:t xml:space="preserve"> </w:t>
      </w:r>
      <w:r>
        <w:tab/>
      </w:r>
      <w:r w:rsidRPr="00241F6D">
        <w:rPr>
          <w:rFonts w:ascii="Arial" w:hAnsi="Arial" w:cs="Arial"/>
        </w:rPr>
        <w:t xml:space="preserve">The documents referred to in paragraph 4 are not required as part of the </w:t>
      </w:r>
      <w:r w:rsidRPr="00241F6D">
        <w:rPr>
          <w:rFonts w:ascii="Arial" w:hAnsi="Arial" w:cs="Arial"/>
        </w:rPr>
        <w:tab/>
        <w:t xml:space="preserve">application if the </w:t>
      </w:r>
      <w:r>
        <w:rPr>
          <w:rFonts w:ascii="Arial" w:hAnsi="Arial" w:cs="Arial"/>
        </w:rPr>
        <w:tab/>
      </w:r>
      <w:r w:rsidRPr="00241F6D">
        <w:rPr>
          <w:rFonts w:ascii="Arial" w:hAnsi="Arial" w:cs="Arial"/>
        </w:rPr>
        <w:t xml:space="preserve">surrogacy arrangement was </w:t>
      </w:r>
      <w:r>
        <w:rPr>
          <w:rFonts w:ascii="Arial" w:hAnsi="Arial" w:cs="Arial"/>
        </w:rPr>
        <w:t>entered into prior to 1 January</w:t>
      </w:r>
      <w:r w:rsidR="00FA0EDA">
        <w:rPr>
          <w:rFonts w:ascii="Arial" w:hAnsi="Arial" w:cs="Arial"/>
        </w:rPr>
        <w:t xml:space="preserve"> 2010 (</w:t>
      </w:r>
      <w:r w:rsidRPr="00241F6D">
        <w:rPr>
          <w:rFonts w:ascii="Arial" w:hAnsi="Arial" w:cs="Arial"/>
          <w:i/>
        </w:rPr>
        <w:t xml:space="preserve">Status of </w:t>
      </w:r>
      <w:r w:rsidR="00FA0EDA">
        <w:rPr>
          <w:rFonts w:ascii="Arial" w:hAnsi="Arial" w:cs="Arial"/>
          <w:i/>
        </w:rPr>
        <w:t xml:space="preserve">Children Act </w:t>
      </w:r>
      <w:r w:rsidRPr="00241F6D">
        <w:rPr>
          <w:rFonts w:ascii="Arial" w:hAnsi="Arial" w:cs="Arial"/>
          <w:i/>
        </w:rPr>
        <w:t>1974</w:t>
      </w:r>
      <w:r>
        <w:rPr>
          <w:rFonts w:ascii="Arial" w:hAnsi="Arial" w:cs="Arial"/>
          <w:i/>
        </w:rPr>
        <w:t xml:space="preserve">, </w:t>
      </w:r>
      <w:r w:rsidRPr="00CC076D">
        <w:rPr>
          <w:rFonts w:ascii="Arial" w:hAnsi="Arial" w:cs="Arial"/>
        </w:rPr>
        <w:t>s 48</w:t>
      </w:r>
      <w:r w:rsidR="00FA0EDA">
        <w:rPr>
          <w:rFonts w:ascii="Arial" w:hAnsi="Arial" w:cs="Arial"/>
        </w:rPr>
        <w:t xml:space="preserve"> – </w:t>
      </w:r>
      <w:r w:rsidR="00FA0EDA">
        <w:rPr>
          <w:rFonts w:ascii="Arial" w:hAnsi="Arial" w:cs="Arial"/>
        </w:rPr>
        <w:tab/>
        <w:t>see table below)</w:t>
      </w:r>
      <w:r>
        <w:rPr>
          <w:rFonts w:ascii="Arial" w:hAnsi="Arial" w:cs="Arial"/>
        </w:rPr>
        <w:t>.</w:t>
      </w:r>
    </w:p>
  </w:footnote>
  <w:footnote w:id="3">
    <w:p w:rsidR="00681A7F" w:rsidRDefault="00681A7F" w:rsidP="00A410D8">
      <w:pPr>
        <w:pStyle w:val="FootnoteText"/>
      </w:pPr>
      <w:r>
        <w:rPr>
          <w:rStyle w:val="FootnoteReference"/>
        </w:rPr>
        <w:footnoteRef/>
      </w:r>
      <w:r>
        <w:t xml:space="preserve"> </w:t>
      </w:r>
      <w:r>
        <w:tab/>
      </w:r>
      <w:r>
        <w:rPr>
          <w:rFonts w:ascii="Arial" w:hAnsi="Arial" w:cs="Arial"/>
        </w:rPr>
        <w:t xml:space="preserve">This paragraph does not apply </w:t>
      </w:r>
      <w:r w:rsidRPr="00241F6D">
        <w:rPr>
          <w:rFonts w:ascii="Arial" w:hAnsi="Arial" w:cs="Arial"/>
        </w:rPr>
        <w:t xml:space="preserve">if the surrogacy arrangement was entered </w:t>
      </w:r>
      <w:r>
        <w:rPr>
          <w:rFonts w:ascii="Arial" w:hAnsi="Arial" w:cs="Arial"/>
        </w:rPr>
        <w:t xml:space="preserve">into before </w:t>
      </w:r>
      <w:r w:rsidRPr="00241F6D">
        <w:rPr>
          <w:rFonts w:ascii="Arial" w:hAnsi="Arial" w:cs="Arial"/>
        </w:rPr>
        <w:t>1 January 2010</w:t>
      </w:r>
      <w:r>
        <w:rPr>
          <w:rFonts w:ascii="Arial" w:hAnsi="Arial" w:cs="Arial"/>
        </w:rPr>
        <w:t xml:space="preserve"> </w:t>
      </w:r>
      <w:r>
        <w:rPr>
          <w:rFonts w:ascii="Arial" w:hAnsi="Arial" w:cs="Arial"/>
        </w:rPr>
        <w:tab/>
        <w:t xml:space="preserve">(see </w:t>
      </w:r>
      <w:r w:rsidRPr="00241F6D">
        <w:rPr>
          <w:rFonts w:ascii="Arial" w:hAnsi="Arial" w:cs="Arial"/>
          <w:i/>
        </w:rPr>
        <w:t>Status of Children Act 1974</w:t>
      </w:r>
      <w:r>
        <w:rPr>
          <w:rFonts w:ascii="Arial" w:hAnsi="Arial" w:cs="Arial"/>
          <w:i/>
        </w:rPr>
        <w:t xml:space="preserve">, </w:t>
      </w:r>
      <w:r>
        <w:rPr>
          <w:rFonts w:ascii="Arial" w:hAnsi="Arial" w:cs="Arial"/>
        </w:rPr>
        <w:t>s 48</w:t>
      </w:r>
      <w:r w:rsidR="00FA0EDA">
        <w:rPr>
          <w:rFonts w:ascii="Arial" w:hAnsi="Arial" w:cs="Arial"/>
        </w:rPr>
        <w:t xml:space="preserve"> - see table below</w:t>
      </w:r>
      <w:r>
        <w:rPr>
          <w:rFonts w:ascii="Arial" w:hAnsi="Arial" w:cs="Arial"/>
        </w:rPr>
        <w:t>).</w:t>
      </w:r>
    </w:p>
  </w:footnote>
  <w:footnote w:id="4">
    <w:p w:rsidR="00681A7F" w:rsidRDefault="00681A7F" w:rsidP="00A410D8">
      <w:pPr>
        <w:pStyle w:val="FootnoteText"/>
      </w:pPr>
      <w:r>
        <w:rPr>
          <w:rStyle w:val="FootnoteReference"/>
        </w:rPr>
        <w:footnoteRef/>
      </w:r>
      <w:r>
        <w:t xml:space="preserve"> </w:t>
      </w:r>
      <w:r>
        <w:tab/>
      </w:r>
      <w:r>
        <w:rPr>
          <w:rFonts w:ascii="Arial" w:hAnsi="Arial" w:cs="Arial"/>
        </w:rPr>
        <w:t xml:space="preserve">This paragraph does not apply </w:t>
      </w:r>
      <w:r w:rsidRPr="00241F6D">
        <w:rPr>
          <w:rFonts w:ascii="Arial" w:hAnsi="Arial" w:cs="Arial"/>
        </w:rPr>
        <w:t xml:space="preserve">if the surrogacy arrangement was entered </w:t>
      </w:r>
      <w:r>
        <w:rPr>
          <w:rFonts w:ascii="Arial" w:hAnsi="Arial" w:cs="Arial"/>
        </w:rPr>
        <w:t xml:space="preserve">into before </w:t>
      </w:r>
      <w:r w:rsidRPr="00241F6D">
        <w:rPr>
          <w:rFonts w:ascii="Arial" w:hAnsi="Arial" w:cs="Arial"/>
        </w:rPr>
        <w:t xml:space="preserve">1 January </w:t>
      </w:r>
      <w:r>
        <w:rPr>
          <w:rFonts w:ascii="Arial" w:hAnsi="Arial" w:cs="Arial"/>
        </w:rPr>
        <w:tab/>
      </w:r>
      <w:r w:rsidRPr="00241F6D">
        <w:rPr>
          <w:rFonts w:ascii="Arial" w:hAnsi="Arial" w:cs="Arial"/>
        </w:rPr>
        <w:t>2010</w:t>
      </w:r>
      <w:r>
        <w:rPr>
          <w:rFonts w:ascii="Arial" w:hAnsi="Arial" w:cs="Arial"/>
        </w:rPr>
        <w:t xml:space="preserve"> (see </w:t>
      </w:r>
      <w:r w:rsidRPr="00241F6D">
        <w:rPr>
          <w:rFonts w:ascii="Arial" w:hAnsi="Arial" w:cs="Arial"/>
          <w:i/>
        </w:rPr>
        <w:t>Status of Children Act 1974</w:t>
      </w:r>
      <w:r>
        <w:rPr>
          <w:rFonts w:ascii="Arial" w:hAnsi="Arial" w:cs="Arial"/>
          <w:i/>
        </w:rPr>
        <w:t xml:space="preserve">, </w:t>
      </w:r>
      <w:r>
        <w:rPr>
          <w:rFonts w:ascii="Arial" w:hAnsi="Arial" w:cs="Arial"/>
        </w:rPr>
        <w:t>s 48</w:t>
      </w:r>
      <w:r w:rsidR="00FA0EDA">
        <w:rPr>
          <w:rFonts w:ascii="Arial" w:hAnsi="Arial" w:cs="Arial"/>
        </w:rPr>
        <w:t>- see table below</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7F" w:rsidRDefault="00681A7F" w:rsidP="00996C41">
    <w:pPr>
      <w:pStyle w:val="Header"/>
      <w:tabs>
        <w:tab w:val="clear" w:pos="4513"/>
        <w:tab w:val="clear" w:pos="9026"/>
        <w:tab w:val="left" w:pos="5869"/>
      </w:tabs>
    </w:pPr>
    <w:r w:rsidRPr="007C7175">
      <w:rPr>
        <w:noProof/>
      </w:rPr>
      <mc:AlternateContent>
        <mc:Choice Requires="wps">
          <w:drawing>
            <wp:anchor distT="36576" distB="36576" distL="36576" distR="36576" simplePos="0" relativeHeight="251665920" behindDoc="0" locked="0" layoutInCell="1" allowOverlap="1" wp14:anchorId="0AD389DA" wp14:editId="705C16DB">
              <wp:simplePos x="0" y="0"/>
              <wp:positionH relativeFrom="column">
                <wp:posOffset>796925</wp:posOffset>
              </wp:positionH>
              <wp:positionV relativeFrom="paragraph">
                <wp:posOffset>67310</wp:posOffset>
              </wp:positionV>
              <wp:extent cx="56013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1A7F" w:rsidRDefault="00681A7F" w:rsidP="00996C41">
                          <w:pPr>
                            <w:widowControl w:val="0"/>
                            <w:rPr>
                              <w:rFonts w:cs="Arial"/>
                              <w:b/>
                              <w:bCs/>
                              <w:color w:val="auto"/>
                              <w:sz w:val="24"/>
                              <w:szCs w:val="24"/>
                              <w14:ligatures w14:val="none"/>
                            </w:rPr>
                          </w:pPr>
                        </w:p>
                        <w:p w:rsidR="00681A7F" w:rsidRPr="006B37F7" w:rsidRDefault="00681A7F" w:rsidP="00996C41">
                          <w:pPr>
                            <w:widowControl w:val="0"/>
                            <w:rPr>
                              <w:rFonts w:cs="Arial"/>
                              <w:b/>
                              <w:bCs/>
                              <w:color w:val="auto"/>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389DA" id="_x0000_t202" coordsize="21600,21600" o:spt="202" path="m,l,21600r21600,l21600,xe">
              <v:stroke joinstyle="miter"/>
              <v:path gradientshapeok="t" o:connecttype="rect"/>
            </v:shapetype>
            <v:shape id="Text Box 10" o:spid="_x0000_s1026" type="#_x0000_t202" style="position:absolute;margin-left:62.75pt;margin-top:5.3pt;width:441.05pt;height:3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k8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" filled="f" stroked="f" strokecolor="black [0]" insetpen="t">
              <v:textbox inset="2.88pt,2.88pt,2.88pt,2.88pt">
                <w:txbxContent>
                  <w:p w:rsidR="00681A7F" w:rsidRDefault="00681A7F" w:rsidP="00996C41">
                    <w:pPr>
                      <w:widowControl w:val="0"/>
                      <w:rPr>
                        <w:rFonts w:cs="Arial"/>
                        <w:b/>
                        <w:bCs/>
                        <w:color w:val="auto"/>
                        <w:sz w:val="24"/>
                        <w:szCs w:val="24"/>
                        <w14:ligatures w14:val="none"/>
                      </w:rPr>
                    </w:pPr>
                  </w:p>
                  <w:p w:rsidR="00681A7F" w:rsidRPr="006B37F7" w:rsidRDefault="00681A7F" w:rsidP="00996C41">
                    <w:pPr>
                      <w:widowControl w:val="0"/>
                      <w:rPr>
                        <w:rFonts w:cs="Arial"/>
                        <w:b/>
                        <w:bCs/>
                        <w:color w:val="auto"/>
                        <w:sz w:val="24"/>
                        <w:szCs w:val="24"/>
                        <w14:ligatures w14:val="none"/>
                      </w:rPr>
                    </w:pPr>
                  </w:p>
                </w:txbxContent>
              </v:textbox>
            </v:shape>
          </w:pict>
        </mc:Fallback>
      </mc:AlternateContent>
    </w:r>
    <w:r w:rsidRPr="007C7175">
      <w:rPr>
        <w:noProof/>
      </w:rPr>
      <mc:AlternateContent>
        <mc:Choice Requires="wps">
          <w:drawing>
            <wp:anchor distT="36576" distB="36576" distL="36576" distR="36576" simplePos="0" relativeHeight="251654656" behindDoc="0" locked="0" layoutInCell="1" allowOverlap="1" wp14:anchorId="57CC464D" wp14:editId="52B1D209">
              <wp:simplePos x="0" y="0"/>
              <wp:positionH relativeFrom="column">
                <wp:posOffset>835186</wp:posOffset>
              </wp:positionH>
              <wp:positionV relativeFrom="paragraph">
                <wp:posOffset>474345</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473163" id="_x0000_t32" coordsize="21600,21600" o:spt="32" o:oned="t" path="m,l21600,21600e" filled="f">
              <v:path arrowok="t" fillok="f" o:connecttype="none"/>
              <o:lock v:ext="edit" shapetype="t"/>
            </v:shapetype>
            <v:shape id="Straight Arrow Connector 9" o:spid="_x0000_s1026" type="#_x0000_t32" style="position:absolute;margin-left:65.75pt;margin-top:37.35pt;width:533.5pt;height: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" strokecolor="black [0]">
              <v:shadow color="#eeece1"/>
            </v:shape>
          </w:pict>
        </mc:Fallback>
      </mc:AlternateContent>
    </w:r>
    <w:r>
      <w:rPr>
        <w:noProof/>
        <w14:ligatures w14:val="none"/>
        <w14:cntxtAlts w14:val="0"/>
      </w:rPr>
      <w:drawing>
        <wp:anchor distT="0" distB="0" distL="114300" distR="114300" simplePos="0" relativeHeight="251675136" behindDoc="0" locked="0" layoutInCell="1" allowOverlap="1" wp14:anchorId="08E08777" wp14:editId="28B98865">
          <wp:simplePos x="0" y="0"/>
          <wp:positionH relativeFrom="column">
            <wp:posOffset>-256067</wp:posOffset>
          </wp:positionH>
          <wp:positionV relativeFrom="paragraph">
            <wp:posOffset>247511</wp:posOffset>
          </wp:positionV>
          <wp:extent cx="989463" cy="242463"/>
          <wp:effectExtent l="0" t="0" r="127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ty Court Logo - Text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106" cy="24825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7F" w:rsidRDefault="00681A7F">
    <w:pPr>
      <w:pStyle w:val="Header"/>
    </w:pPr>
    <w:r w:rsidRPr="007C7175">
      <w:rPr>
        <w:noProof/>
      </w:rPr>
      <mc:AlternateContent>
        <mc:Choice Requires="wps">
          <w:drawing>
            <wp:anchor distT="36576" distB="36576" distL="36576" distR="36576" simplePos="0" relativeHeight="251666432" behindDoc="0" locked="0" layoutInCell="1" allowOverlap="1" wp14:anchorId="5428BFB4" wp14:editId="3A4F49B6">
              <wp:simplePos x="0" y="0"/>
              <wp:positionH relativeFrom="column">
                <wp:posOffset>1629705</wp:posOffset>
              </wp:positionH>
              <wp:positionV relativeFrom="paragraph">
                <wp:posOffset>-216299</wp:posOffset>
              </wp:positionV>
              <wp:extent cx="4890977" cy="1190802"/>
              <wp:effectExtent l="0" t="0" r="50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7" cy="1190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1A7F" w:rsidRDefault="00681A7F" w:rsidP="007C7175">
                          <w:pPr>
                            <w:widowControl w:val="0"/>
                            <w:rPr>
                              <w:rFonts w:cs="Arial"/>
                              <w:b/>
                              <w:bCs/>
                              <w:sz w:val="36"/>
                              <w:szCs w:val="36"/>
                              <w14:ligatures w14:val="none"/>
                            </w:rPr>
                          </w:pPr>
                        </w:p>
                        <w:p w:rsidR="00681A7F" w:rsidRDefault="00681A7F" w:rsidP="007C7175">
                          <w:pPr>
                            <w:widowControl w:val="0"/>
                            <w:rPr>
                              <w:rFonts w:cs="Arial"/>
                              <w:b/>
                              <w:bCs/>
                              <w:sz w:val="36"/>
                              <w:szCs w:val="36"/>
                              <w14:ligatures w14:val="none"/>
                            </w:rPr>
                          </w:pPr>
                        </w:p>
                        <w:p w:rsidR="00681A7F" w:rsidRPr="00C22F90" w:rsidRDefault="00681A7F" w:rsidP="00A410D8">
                          <w:pPr>
                            <w:widowControl w:val="0"/>
                            <w:rPr>
                              <w:rFonts w:cs="Arial"/>
                              <w:b/>
                              <w:bCs/>
                              <w:sz w:val="36"/>
                              <w:szCs w:val="36"/>
                              <w14:ligatures w14:val="none"/>
                            </w:rPr>
                          </w:pPr>
                          <w:r>
                            <w:rPr>
                              <w:rFonts w:cs="Arial"/>
                              <w:b/>
                              <w:bCs/>
                              <w:sz w:val="36"/>
                              <w:szCs w:val="36"/>
                              <w14:ligatures w14:val="none"/>
                            </w:rPr>
                            <w:t>County Court Notice to Practitioners: Registration Orders</w:t>
                          </w:r>
                        </w:p>
                        <w:p w:rsidR="00681A7F" w:rsidRPr="00C22F90" w:rsidRDefault="00681A7F" w:rsidP="006B37F7">
                          <w:pPr>
                            <w:widowControl w:val="0"/>
                            <w:rPr>
                              <w:rFonts w:cs="Arial"/>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BFB4" id="_x0000_t202" coordsize="21600,21600" o:spt="202" path="m,l,21600r21600,l21600,xe">
              <v:stroke joinstyle="miter"/>
              <v:path gradientshapeok="t" o:connecttype="rect"/>
            </v:shapetype>
            <v:shape id="Text Box 7" o:spid="_x0000_s1027" type="#_x0000_t202" style="position:absolute;margin-left:128.3pt;margin-top:-17.05pt;width:385.1pt;height:93.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zODQMAAL4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" filled="f" stroked="f" strokecolor="black [0]" insetpen="t">
              <v:textbox inset="2.88pt,2.88pt,2.88pt,2.88pt">
                <w:txbxContent>
                  <w:p w:rsidR="00681A7F" w:rsidRDefault="00681A7F" w:rsidP="007C7175">
                    <w:pPr>
                      <w:widowControl w:val="0"/>
                      <w:rPr>
                        <w:rFonts w:cs="Arial"/>
                        <w:b/>
                        <w:bCs/>
                        <w:sz w:val="36"/>
                        <w:szCs w:val="36"/>
                        <w14:ligatures w14:val="none"/>
                      </w:rPr>
                    </w:pPr>
                  </w:p>
                  <w:p w:rsidR="00681A7F" w:rsidRDefault="00681A7F" w:rsidP="007C7175">
                    <w:pPr>
                      <w:widowControl w:val="0"/>
                      <w:rPr>
                        <w:rFonts w:cs="Arial"/>
                        <w:b/>
                        <w:bCs/>
                        <w:sz w:val="36"/>
                        <w:szCs w:val="36"/>
                        <w14:ligatures w14:val="none"/>
                      </w:rPr>
                    </w:pPr>
                  </w:p>
                  <w:p w:rsidR="00681A7F" w:rsidRPr="00C22F90" w:rsidRDefault="00681A7F" w:rsidP="00A410D8">
                    <w:pPr>
                      <w:widowControl w:val="0"/>
                      <w:rPr>
                        <w:rFonts w:cs="Arial"/>
                        <w:b/>
                        <w:bCs/>
                        <w:sz w:val="36"/>
                        <w:szCs w:val="36"/>
                        <w14:ligatures w14:val="none"/>
                      </w:rPr>
                    </w:pPr>
                    <w:r>
                      <w:rPr>
                        <w:rFonts w:cs="Arial"/>
                        <w:b/>
                        <w:bCs/>
                        <w:sz w:val="36"/>
                        <w:szCs w:val="36"/>
                        <w14:ligatures w14:val="none"/>
                      </w:rPr>
                      <w:t>County Court Notice to Practitioners: Registration Orders</w:t>
                    </w:r>
                  </w:p>
                  <w:p w:rsidR="00681A7F" w:rsidRPr="00C22F90" w:rsidRDefault="00681A7F" w:rsidP="006B37F7">
                    <w:pPr>
                      <w:widowControl w:val="0"/>
                      <w:rPr>
                        <w:rFonts w:cs="Arial"/>
                        <w:b/>
                        <w:bCs/>
                        <w:sz w:val="36"/>
                        <w:szCs w:val="36"/>
                        <w14:ligatures w14:val="none"/>
                      </w:rPr>
                    </w:pPr>
                  </w:p>
                </w:txbxContent>
              </v:textbox>
            </v:shape>
          </w:pict>
        </mc:Fallback>
      </mc:AlternateContent>
    </w:r>
    <w:r>
      <w:rPr>
        <w:noProof/>
        <w14:ligatures w14:val="none"/>
        <w14:cntxtAlts w14:val="0"/>
      </w:rPr>
      <w:drawing>
        <wp:anchor distT="0" distB="0" distL="114300" distR="114300" simplePos="0" relativeHeight="251675648" behindDoc="1" locked="0" layoutInCell="1" allowOverlap="1" wp14:anchorId="5391C8E0" wp14:editId="1AD40DF9">
          <wp:simplePos x="0" y="0"/>
          <wp:positionH relativeFrom="column">
            <wp:posOffset>-377190</wp:posOffset>
          </wp:positionH>
          <wp:positionV relativeFrom="paragraph">
            <wp:posOffset>-88392</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r w:rsidRPr="007C7175">
      <w:rPr>
        <w:noProof/>
      </w:rPr>
      <mc:AlternateContent>
        <mc:Choice Requires="wps">
          <w:drawing>
            <wp:anchor distT="36576" distB="36576" distL="36576" distR="36576" simplePos="0" relativeHeight="251665408" behindDoc="0" locked="0" layoutInCell="1" allowOverlap="1" wp14:anchorId="4392603C" wp14:editId="6182ABDF">
              <wp:simplePos x="0" y="0"/>
              <wp:positionH relativeFrom="column">
                <wp:posOffset>1653050</wp:posOffset>
              </wp:positionH>
              <wp:positionV relativeFrom="paragraph">
                <wp:posOffset>911225</wp:posOffset>
              </wp:positionV>
              <wp:extent cx="57232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25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64B8F9" id="_x0000_t32" coordsize="21600,21600" o:spt="32" o:oned="t" path="m,l21600,21600e" filled="f">
              <v:path arrowok="t" fillok="f" o:connecttype="none"/>
              <o:lock v:ext="edit" shapetype="t"/>
            </v:shapetype>
            <v:shape id="Straight Arrow Connector 6" o:spid="_x0000_s1026" type="#_x0000_t32" style="position:absolute;margin-left:130.15pt;margin-top:71.75pt;width:450.6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" strokecolor="black [0]">
              <v:shadow color="#eeece1"/>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62D"/>
    <w:multiLevelType w:val="hybridMultilevel"/>
    <w:tmpl w:val="3C4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31A98"/>
    <w:multiLevelType w:val="hybridMultilevel"/>
    <w:tmpl w:val="E9146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05520"/>
    <w:multiLevelType w:val="hybridMultilevel"/>
    <w:tmpl w:val="9CD290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8A3A32"/>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522EA8"/>
    <w:multiLevelType w:val="hybridMultilevel"/>
    <w:tmpl w:val="1C28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5A5EF9"/>
    <w:multiLevelType w:val="hybridMultilevel"/>
    <w:tmpl w:val="8F6EF02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9E4E4F"/>
    <w:multiLevelType w:val="multilevel"/>
    <w:tmpl w:val="E9F0632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A18BC"/>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7A1B40"/>
    <w:multiLevelType w:val="hybridMultilevel"/>
    <w:tmpl w:val="152C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EE271F"/>
    <w:multiLevelType w:val="hybridMultilevel"/>
    <w:tmpl w:val="2EC2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AA2ABE"/>
    <w:multiLevelType w:val="hybridMultilevel"/>
    <w:tmpl w:val="FA24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6B2A97"/>
    <w:multiLevelType w:val="hybridMultilevel"/>
    <w:tmpl w:val="1B7A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393AAE"/>
    <w:multiLevelType w:val="multilevel"/>
    <w:tmpl w:val="AF8E69B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8D65796"/>
    <w:multiLevelType w:val="hybridMultilevel"/>
    <w:tmpl w:val="C4AE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3371086"/>
    <w:multiLevelType w:val="hybridMultilevel"/>
    <w:tmpl w:val="E83E2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CA4153"/>
    <w:multiLevelType w:val="hybridMultilevel"/>
    <w:tmpl w:val="9CA6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1146CA"/>
    <w:multiLevelType w:val="hybridMultilevel"/>
    <w:tmpl w:val="E654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F35D8C"/>
    <w:multiLevelType w:val="hybridMultilevel"/>
    <w:tmpl w:val="0950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9931E7"/>
    <w:multiLevelType w:val="multilevel"/>
    <w:tmpl w:val="6B50731E"/>
    <w:lvl w:ilvl="0">
      <w:start w:val="1"/>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BB1946"/>
    <w:multiLevelType w:val="hybridMultilevel"/>
    <w:tmpl w:val="8EAC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102DF4"/>
    <w:multiLevelType w:val="hybridMultilevel"/>
    <w:tmpl w:val="44829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742C23"/>
    <w:multiLevelType w:val="hybridMultilevel"/>
    <w:tmpl w:val="78468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4"/>
  </w:num>
  <w:num w:numId="5">
    <w:abstractNumId w:val="7"/>
  </w:num>
  <w:num w:numId="6">
    <w:abstractNumId w:val="15"/>
  </w:num>
  <w:num w:numId="7">
    <w:abstractNumId w:val="23"/>
  </w:num>
  <w:num w:numId="8">
    <w:abstractNumId w:val="9"/>
  </w:num>
  <w:num w:numId="9">
    <w:abstractNumId w:val="16"/>
  </w:num>
  <w:num w:numId="10">
    <w:abstractNumId w:val="1"/>
  </w:num>
  <w:num w:numId="11">
    <w:abstractNumId w:val="22"/>
  </w:num>
  <w:num w:numId="12">
    <w:abstractNumId w:val="12"/>
  </w:num>
  <w:num w:numId="13">
    <w:abstractNumId w:val="19"/>
  </w:num>
  <w:num w:numId="14">
    <w:abstractNumId w:val="0"/>
  </w:num>
  <w:num w:numId="15">
    <w:abstractNumId w:val="10"/>
  </w:num>
  <w:num w:numId="16">
    <w:abstractNumId w:val="21"/>
  </w:num>
  <w:num w:numId="17">
    <w:abstractNumId w:val="3"/>
  </w:num>
  <w:num w:numId="18">
    <w:abstractNumId w:val="14"/>
  </w:num>
  <w:num w:numId="19">
    <w:abstractNumId w:val="18"/>
  </w:num>
  <w:num w:numId="20">
    <w:abstractNumId w:val="11"/>
  </w:num>
  <w:num w:numId="21">
    <w:abstractNumId w:val="5"/>
  </w:num>
  <w:num w:numId="22">
    <w:abstractNumId w:val="24"/>
  </w:num>
  <w:num w:numId="23">
    <w:abstractNumId w:val="20"/>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132BD"/>
    <w:rsid w:val="00037B62"/>
    <w:rsid w:val="00061816"/>
    <w:rsid w:val="000E79DD"/>
    <w:rsid w:val="00106679"/>
    <w:rsid w:val="001A3748"/>
    <w:rsid w:val="00266A9E"/>
    <w:rsid w:val="002759A1"/>
    <w:rsid w:val="002911E0"/>
    <w:rsid w:val="002C5DD8"/>
    <w:rsid w:val="002D55D3"/>
    <w:rsid w:val="002E274A"/>
    <w:rsid w:val="003045EC"/>
    <w:rsid w:val="0035656D"/>
    <w:rsid w:val="0039423D"/>
    <w:rsid w:val="00404D1D"/>
    <w:rsid w:val="00406CD8"/>
    <w:rsid w:val="00420067"/>
    <w:rsid w:val="004858E5"/>
    <w:rsid w:val="004D0047"/>
    <w:rsid w:val="00504E76"/>
    <w:rsid w:val="005602DF"/>
    <w:rsid w:val="00583A16"/>
    <w:rsid w:val="00603065"/>
    <w:rsid w:val="00623853"/>
    <w:rsid w:val="00681A7F"/>
    <w:rsid w:val="006942D6"/>
    <w:rsid w:val="006B37F7"/>
    <w:rsid w:val="00734462"/>
    <w:rsid w:val="007348D4"/>
    <w:rsid w:val="007375DD"/>
    <w:rsid w:val="007450DD"/>
    <w:rsid w:val="007A3C84"/>
    <w:rsid w:val="007C7175"/>
    <w:rsid w:val="007F3CFA"/>
    <w:rsid w:val="00865797"/>
    <w:rsid w:val="00876652"/>
    <w:rsid w:val="00877377"/>
    <w:rsid w:val="00886FE2"/>
    <w:rsid w:val="008B3EEC"/>
    <w:rsid w:val="008D00E8"/>
    <w:rsid w:val="0090715E"/>
    <w:rsid w:val="00945DA0"/>
    <w:rsid w:val="00952BF8"/>
    <w:rsid w:val="00996C41"/>
    <w:rsid w:val="00A1514E"/>
    <w:rsid w:val="00A16AE2"/>
    <w:rsid w:val="00A21F04"/>
    <w:rsid w:val="00A410D8"/>
    <w:rsid w:val="00A457B3"/>
    <w:rsid w:val="00A50240"/>
    <w:rsid w:val="00A61AAC"/>
    <w:rsid w:val="00AB3ACC"/>
    <w:rsid w:val="00AD5305"/>
    <w:rsid w:val="00AE7647"/>
    <w:rsid w:val="00B445AD"/>
    <w:rsid w:val="00B61678"/>
    <w:rsid w:val="00C06887"/>
    <w:rsid w:val="00C22F90"/>
    <w:rsid w:val="00C518FB"/>
    <w:rsid w:val="00CA6390"/>
    <w:rsid w:val="00D220D5"/>
    <w:rsid w:val="00D75AE8"/>
    <w:rsid w:val="00D97BB8"/>
    <w:rsid w:val="00DB4B2F"/>
    <w:rsid w:val="00E004BD"/>
    <w:rsid w:val="00E027A2"/>
    <w:rsid w:val="00E23961"/>
    <w:rsid w:val="00EB4C57"/>
    <w:rsid w:val="00F13097"/>
    <w:rsid w:val="00F241E1"/>
    <w:rsid w:val="00F63E07"/>
    <w:rsid w:val="00F962B8"/>
    <w:rsid w:val="00FA0EDA"/>
    <w:rsid w:val="00FA477A"/>
    <w:rsid w:val="00FD6C2C"/>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61DD20-0364-4987-8AEF-48B5FA3E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8D00E8"/>
    <w:pPr>
      <w:tabs>
        <w:tab w:val="right" w:leader="dot" w:pos="9498"/>
      </w:tabs>
      <w:spacing w:after="100"/>
      <w:ind w:left="200"/>
    </w:pPr>
  </w:style>
  <w:style w:type="table" w:styleId="TableGrid">
    <w:name w:val="Table Grid"/>
    <w:basedOn w:val="TableNormal"/>
    <w:uiPriority w:val="59"/>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7"/>
      </w:numPr>
      <w:spacing w:after="120"/>
      <w:ind w:left="357" w:hanging="357"/>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18"/>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paragraph" w:styleId="FootnoteText">
    <w:name w:val="footnote text"/>
    <w:basedOn w:val="Normal"/>
    <w:link w:val="FootnoteTextChar"/>
    <w:rsid w:val="00A410D8"/>
    <w:rPr>
      <w:rFonts w:ascii="Bookman Old Style" w:hAnsi="Bookman Old Style" w:cs="Times New Roman"/>
      <w:color w:val="auto"/>
      <w:kern w:val="0"/>
      <w:sz w:val="20"/>
      <w:lang w:eastAsia="en-US"/>
      <w14:ligatures w14:val="none"/>
      <w14:cntxtAlts w14:val="0"/>
    </w:rPr>
  </w:style>
  <w:style w:type="character" w:customStyle="1" w:styleId="FootnoteTextChar">
    <w:name w:val="Footnote Text Char"/>
    <w:basedOn w:val="DefaultParagraphFont"/>
    <w:link w:val="FootnoteText"/>
    <w:rsid w:val="00A410D8"/>
    <w:rPr>
      <w:rFonts w:ascii="Bookman Old Style" w:eastAsia="Times New Roman" w:hAnsi="Bookman Old Style" w:cs="Times New Roman"/>
      <w:sz w:val="20"/>
      <w:szCs w:val="20"/>
    </w:rPr>
  </w:style>
  <w:style w:type="character" w:styleId="FootnoteReference">
    <w:name w:val="footnote reference"/>
    <w:rsid w:val="00A41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21A0-73EC-41F0-9CEF-DC4EB397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Stephen Acott</cp:lastModifiedBy>
  <cp:revision>2</cp:revision>
  <cp:lastPrinted>2014-11-24T04:27:00Z</cp:lastPrinted>
  <dcterms:created xsi:type="dcterms:W3CDTF">2018-06-06T06:12:00Z</dcterms:created>
  <dcterms:modified xsi:type="dcterms:W3CDTF">2018-06-06T06:12:00Z</dcterms:modified>
</cp:coreProperties>
</file>